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E29878" w14:textId="77777777" w:rsidR="0088527D" w:rsidRDefault="0088527D" w:rsidP="0088527D">
      <w:pPr>
        <w:pStyle w:val="Heading3"/>
        <w:spacing w:before="240"/>
      </w:pPr>
      <w:r>
        <w:t>The project cycle</w:t>
      </w:r>
    </w:p>
    <w:p w14:paraId="1E002962" w14:textId="77777777" w:rsidR="0088527D" w:rsidRPr="0088527D" w:rsidRDefault="0088527D" w:rsidP="0088527D">
      <w:pPr>
        <w:pStyle w:val="credit"/>
      </w:pPr>
      <w:r w:rsidRPr="0088527D">
        <w:t>Abstract from the booklet ‘Quality and Accountability for Project Cycle Management’ published by Community World Service Asia</w:t>
      </w:r>
    </w:p>
    <w:p w14:paraId="07405CC3" w14:textId="01A38487" w:rsidR="0088527D" w:rsidRDefault="0088527D" w:rsidP="0088527D">
      <w:pPr>
        <w:pStyle w:val="Heading5"/>
      </w:pPr>
      <w:r>
        <w:t xml:space="preserve">The </w:t>
      </w:r>
      <w:r w:rsidR="00067119">
        <w:t>five phases of the project cycl</w:t>
      </w:r>
      <w:r w:rsidR="00D03737">
        <w:t>e</w:t>
      </w:r>
    </w:p>
    <w:p w14:paraId="4B33553E" w14:textId="77777777" w:rsidR="0088527D" w:rsidRDefault="0088527D" w:rsidP="0088527D">
      <w:r>
        <w:t xml:space="preserve">There are many ways to view a project cycle and the wider context in which it occurs. The following inter-related phases and </w:t>
      </w:r>
      <w:proofErr w:type="spellStart"/>
      <w:r>
        <w:t>diagrammes</w:t>
      </w:r>
      <w:proofErr w:type="spellEnd"/>
      <w:r>
        <w:t xml:space="preserve"> were selected to ensure simple and straightforward use. Each of these five phases contributes to project life. They are a roadmap for quality and accountability for project managers and implementers alike.</w:t>
      </w:r>
    </w:p>
    <w:p w14:paraId="34A8B4AD" w14:textId="77777777" w:rsidR="0088527D" w:rsidRDefault="0088527D" w:rsidP="0088527D"/>
    <w:tbl>
      <w:tblPr>
        <w:tblStyle w:val="TableGrid"/>
        <w:tblW w:w="9606" w:type="dxa"/>
        <w:tblLayout w:type="fixed"/>
        <w:tblLook w:val="04A0" w:firstRow="1" w:lastRow="0" w:firstColumn="1" w:lastColumn="0" w:noHBand="0" w:noVBand="1"/>
      </w:tblPr>
      <w:tblGrid>
        <w:gridCol w:w="2943"/>
        <w:gridCol w:w="2268"/>
        <w:gridCol w:w="4395"/>
      </w:tblGrid>
      <w:tr w:rsidR="00495FDD" w14:paraId="0FD37FB1" w14:textId="77777777" w:rsidTr="00C95B37">
        <w:tc>
          <w:tcPr>
            <w:tcW w:w="2943" w:type="dxa"/>
            <w:shd w:val="clear" w:color="auto" w:fill="579305" w:themeFill="accent1"/>
          </w:tcPr>
          <w:p w14:paraId="2E7EAC3D" w14:textId="01AEBF60" w:rsidR="00495FDD" w:rsidRDefault="00495FDD" w:rsidP="00495FDD">
            <w:pPr>
              <w:pStyle w:val="tableheading"/>
            </w:pPr>
            <w:r w:rsidRPr="00F723EF">
              <w:t>Project cycle 5 phases</w:t>
            </w:r>
          </w:p>
        </w:tc>
        <w:tc>
          <w:tcPr>
            <w:tcW w:w="2268" w:type="dxa"/>
            <w:shd w:val="clear" w:color="auto" w:fill="579305" w:themeFill="accent1"/>
          </w:tcPr>
          <w:p w14:paraId="4CA25F66" w14:textId="77777777" w:rsidR="00495FDD" w:rsidRDefault="00495FDD" w:rsidP="00495FDD">
            <w:pPr>
              <w:pStyle w:val="tableheading"/>
            </w:pPr>
          </w:p>
        </w:tc>
        <w:tc>
          <w:tcPr>
            <w:tcW w:w="4395" w:type="dxa"/>
            <w:shd w:val="clear" w:color="auto" w:fill="579305" w:themeFill="accent1"/>
          </w:tcPr>
          <w:p w14:paraId="0C32B196" w14:textId="13D33342" w:rsidR="00495FDD" w:rsidRDefault="00495FDD" w:rsidP="00495FDD">
            <w:pPr>
              <w:pStyle w:val="tableheading"/>
            </w:pPr>
            <w:r w:rsidRPr="00712DC5">
              <w:t>Description of key actions</w:t>
            </w:r>
          </w:p>
        </w:tc>
      </w:tr>
      <w:tr w:rsidR="00495FDD" w14:paraId="5F0A7B69" w14:textId="77777777" w:rsidTr="00C95B37">
        <w:tc>
          <w:tcPr>
            <w:tcW w:w="2943" w:type="dxa"/>
            <w:shd w:val="clear" w:color="auto" w:fill="579305" w:themeFill="accent1"/>
          </w:tcPr>
          <w:p w14:paraId="3FD6659E" w14:textId="27F079F4" w:rsidR="00495FDD" w:rsidRDefault="00495FDD" w:rsidP="00495FDD">
            <w:pPr>
              <w:pStyle w:val="tableheading"/>
            </w:pPr>
            <w:r w:rsidRPr="00F723EF">
              <w:t>Assessment</w:t>
            </w:r>
          </w:p>
        </w:tc>
        <w:tc>
          <w:tcPr>
            <w:tcW w:w="2268" w:type="dxa"/>
          </w:tcPr>
          <w:p w14:paraId="1F0540B5" w14:textId="323700E9" w:rsidR="00495FDD" w:rsidRDefault="00495FDD" w:rsidP="00495FDD">
            <w:pPr>
              <w:pStyle w:val="table"/>
            </w:pPr>
            <w:r w:rsidRPr="00AD12BA">
              <w:t>OBSERVE</w:t>
            </w:r>
            <w:r w:rsidR="00A027E7">
              <w:t xml:space="preserve"> </w:t>
            </w:r>
            <w:r w:rsidR="00A027E7" w:rsidRPr="00AD12BA">
              <w:t>&amp; LISTEN</w:t>
            </w:r>
          </w:p>
        </w:tc>
        <w:tc>
          <w:tcPr>
            <w:tcW w:w="4395" w:type="dxa"/>
          </w:tcPr>
          <w:p w14:paraId="27901F38" w14:textId="2862348F" w:rsidR="00495FDD" w:rsidRDefault="00495FDD" w:rsidP="00495FDD">
            <w:pPr>
              <w:pStyle w:val="table"/>
            </w:pPr>
            <w:r w:rsidRPr="00712DC5">
              <w:t>You collect technical rough data of direct interest to people’s needs as well as on the local and global context.</w:t>
            </w:r>
          </w:p>
        </w:tc>
      </w:tr>
      <w:tr w:rsidR="00495FDD" w14:paraId="18E0E7A9" w14:textId="77777777" w:rsidTr="00C95B37">
        <w:tc>
          <w:tcPr>
            <w:tcW w:w="2943" w:type="dxa"/>
            <w:shd w:val="clear" w:color="auto" w:fill="579305" w:themeFill="accent1"/>
          </w:tcPr>
          <w:p w14:paraId="302D63B5" w14:textId="4F834256" w:rsidR="00495FDD" w:rsidRDefault="00495FDD" w:rsidP="00495FDD">
            <w:pPr>
              <w:pStyle w:val="tableheading"/>
            </w:pPr>
            <w:r w:rsidRPr="00F723EF">
              <w:t>Analysis</w:t>
            </w:r>
          </w:p>
        </w:tc>
        <w:tc>
          <w:tcPr>
            <w:tcW w:w="2268" w:type="dxa"/>
          </w:tcPr>
          <w:p w14:paraId="5856D432" w14:textId="2C1A8AA6" w:rsidR="00495FDD" w:rsidRDefault="00A027E7" w:rsidP="00495FDD">
            <w:pPr>
              <w:pStyle w:val="table"/>
            </w:pPr>
            <w:r w:rsidRPr="00AD12BA">
              <w:t>THINK</w:t>
            </w:r>
          </w:p>
        </w:tc>
        <w:tc>
          <w:tcPr>
            <w:tcW w:w="4395" w:type="dxa"/>
          </w:tcPr>
          <w:p w14:paraId="161759E8" w14:textId="5A8713A9" w:rsidR="00495FDD" w:rsidRDefault="00495FDD" w:rsidP="00495FDD">
            <w:pPr>
              <w:pStyle w:val="table"/>
            </w:pPr>
            <w:r w:rsidRPr="00712DC5">
              <w:t>You analyse the data which then becomes usable information to make decisions about current and/or future projects.</w:t>
            </w:r>
          </w:p>
        </w:tc>
      </w:tr>
      <w:tr w:rsidR="00495FDD" w14:paraId="570B8C8D" w14:textId="77777777" w:rsidTr="00C95B37">
        <w:tc>
          <w:tcPr>
            <w:tcW w:w="2943" w:type="dxa"/>
            <w:shd w:val="clear" w:color="auto" w:fill="579305" w:themeFill="accent1"/>
          </w:tcPr>
          <w:p w14:paraId="0723F1B9" w14:textId="7994ACAA" w:rsidR="00495FDD" w:rsidRDefault="00495FDD" w:rsidP="00495FDD">
            <w:pPr>
              <w:pStyle w:val="tableheading"/>
            </w:pPr>
            <w:r w:rsidRPr="00F723EF">
              <w:t>Design &amp; Implementation</w:t>
            </w:r>
          </w:p>
        </w:tc>
        <w:tc>
          <w:tcPr>
            <w:tcW w:w="2268" w:type="dxa"/>
          </w:tcPr>
          <w:p w14:paraId="08FD09F2" w14:textId="506FFC0A" w:rsidR="00495FDD" w:rsidRDefault="00A027E7" w:rsidP="00495FDD">
            <w:pPr>
              <w:pStyle w:val="table"/>
            </w:pPr>
            <w:r w:rsidRPr="00AD12BA">
              <w:t>PLAN &amp; DO</w:t>
            </w:r>
          </w:p>
        </w:tc>
        <w:tc>
          <w:tcPr>
            <w:tcW w:w="4395" w:type="dxa"/>
          </w:tcPr>
          <w:p w14:paraId="6E73442E" w14:textId="0B0A1FB3" w:rsidR="00495FDD" w:rsidRDefault="00495FDD" w:rsidP="00495FDD">
            <w:pPr>
              <w:pStyle w:val="table"/>
            </w:pPr>
            <w:r w:rsidRPr="00712DC5">
              <w:t>You design your project, allocate means and resources, and run the activities as planned.</w:t>
            </w:r>
          </w:p>
        </w:tc>
      </w:tr>
      <w:tr w:rsidR="00495FDD" w14:paraId="1E85DC00" w14:textId="77777777" w:rsidTr="00C95B37">
        <w:tc>
          <w:tcPr>
            <w:tcW w:w="2943" w:type="dxa"/>
            <w:shd w:val="clear" w:color="auto" w:fill="579305" w:themeFill="accent1"/>
          </w:tcPr>
          <w:p w14:paraId="711BD02A" w14:textId="57B0E447" w:rsidR="00495FDD" w:rsidRDefault="00495FDD" w:rsidP="00495FDD">
            <w:pPr>
              <w:pStyle w:val="tableheading"/>
            </w:pPr>
            <w:r w:rsidRPr="00F723EF">
              <w:t>Monitoring &amp; Evaluation</w:t>
            </w:r>
          </w:p>
        </w:tc>
        <w:tc>
          <w:tcPr>
            <w:tcW w:w="2268" w:type="dxa"/>
          </w:tcPr>
          <w:p w14:paraId="530DDE62" w14:textId="7324DF66" w:rsidR="00495FDD" w:rsidRDefault="00A027E7" w:rsidP="00495FDD">
            <w:pPr>
              <w:pStyle w:val="table"/>
            </w:pPr>
            <w:r>
              <w:t>REFLECT</w:t>
            </w:r>
          </w:p>
        </w:tc>
        <w:tc>
          <w:tcPr>
            <w:tcW w:w="4395" w:type="dxa"/>
          </w:tcPr>
          <w:p w14:paraId="56192AA5" w14:textId="1E6EDFAF" w:rsidR="00495FDD" w:rsidRDefault="00495FDD" w:rsidP="00495FDD">
            <w:pPr>
              <w:pStyle w:val="table"/>
            </w:pPr>
            <w:r w:rsidRPr="00712DC5">
              <w:t>You collect data and periodically analyse it to value the results, effects, and possible impact of your project, allowing for reorientation.</w:t>
            </w:r>
          </w:p>
        </w:tc>
      </w:tr>
      <w:tr w:rsidR="00495FDD" w14:paraId="67C1229B" w14:textId="77777777" w:rsidTr="00C95B37">
        <w:tc>
          <w:tcPr>
            <w:tcW w:w="2943" w:type="dxa"/>
            <w:shd w:val="clear" w:color="auto" w:fill="579305" w:themeFill="accent1"/>
          </w:tcPr>
          <w:p w14:paraId="1055C099" w14:textId="38324EA3" w:rsidR="00495FDD" w:rsidRDefault="00495FDD" w:rsidP="00495FDD">
            <w:pPr>
              <w:pStyle w:val="tableheading"/>
            </w:pPr>
            <w:r w:rsidRPr="00F723EF">
              <w:t>Capitalisation, Learning &amp; Changing</w:t>
            </w:r>
          </w:p>
        </w:tc>
        <w:tc>
          <w:tcPr>
            <w:tcW w:w="2268" w:type="dxa"/>
          </w:tcPr>
          <w:p w14:paraId="44CA63D5" w14:textId="689B4F1A" w:rsidR="00495FDD" w:rsidRDefault="00A027E7" w:rsidP="00495FDD">
            <w:pPr>
              <w:pStyle w:val="table"/>
            </w:pPr>
            <w:r>
              <w:t>GROW</w:t>
            </w:r>
          </w:p>
        </w:tc>
        <w:tc>
          <w:tcPr>
            <w:tcW w:w="4395" w:type="dxa"/>
          </w:tcPr>
          <w:p w14:paraId="2364A957" w14:textId="1E880542" w:rsidR="00495FDD" w:rsidRDefault="00495FDD" w:rsidP="00495FDD">
            <w:pPr>
              <w:pStyle w:val="table"/>
            </w:pPr>
            <w:r w:rsidRPr="00712DC5">
              <w:t>You ensure you have time to compile analysis and knowledge, learn from it, and ensure that change can happen at all levels.</w:t>
            </w:r>
          </w:p>
        </w:tc>
      </w:tr>
    </w:tbl>
    <w:p w14:paraId="6CA89596" w14:textId="57E0BC79" w:rsidR="00495FDD" w:rsidRDefault="009D29D8" w:rsidP="009D29D8">
      <w:pPr>
        <w:spacing w:before="320"/>
        <w:jc w:val="center"/>
      </w:pPr>
      <w:r>
        <w:rPr>
          <w:rFonts w:asciiTheme="minorHAnsi" w:eastAsiaTheme="minorEastAsia" w:hAnsiTheme="minorHAnsi" w:cstheme="minorBidi"/>
          <w:b/>
          <w:noProof/>
          <w:color w:val="FFFFFF" w:themeColor="background1"/>
          <w:sz w:val="36"/>
          <w:szCs w:val="36"/>
          <w:lang w:eastAsia="en-GB"/>
        </w:rPr>
        <w:drawing>
          <wp:inline distT="0" distB="0" distL="0" distR="0" wp14:anchorId="63AB567B" wp14:editId="3F21956F">
            <wp:extent cx="2537256" cy="357187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51289" cy="3591630"/>
                    </a:xfrm>
                    <a:prstGeom prst="rect">
                      <a:avLst/>
                    </a:prstGeom>
                    <a:noFill/>
                  </pic:spPr>
                </pic:pic>
              </a:graphicData>
            </a:graphic>
          </wp:inline>
        </w:drawing>
      </w:r>
    </w:p>
    <w:p w14:paraId="1980BBF5" w14:textId="6C2B29E2" w:rsidR="0088527D" w:rsidRDefault="0088527D" w:rsidP="009D29D8">
      <w:pPr>
        <w:pStyle w:val="Heading3"/>
      </w:pPr>
      <w:r>
        <w:lastRenderedPageBreak/>
        <w:t>The Inter-Agency Standing Committee (IASC)</w:t>
      </w:r>
      <w:r w:rsidR="009D29D8">
        <w:t xml:space="preserve"> </w:t>
      </w:r>
      <w:r>
        <w:t>Humanitarian Programme Cycle (HPC)</w:t>
      </w:r>
    </w:p>
    <w:p w14:paraId="7AB764DE" w14:textId="77777777" w:rsidR="0088527D" w:rsidRDefault="0088527D" w:rsidP="00083D19">
      <w:pPr>
        <w:pStyle w:val="credit"/>
      </w:pPr>
      <w:r>
        <w:t>Abstract from ‘The reference module for the implementation of the HPC’</w:t>
      </w:r>
    </w:p>
    <w:p w14:paraId="14715422" w14:textId="03884E7B" w:rsidR="00083D19" w:rsidRDefault="00083D19" w:rsidP="00083D19">
      <w:pPr>
        <w:spacing w:before="400"/>
        <w:jc w:val="center"/>
      </w:pPr>
      <w:r>
        <w:rPr>
          <w:noProof/>
          <w:lang w:eastAsia="en-GB"/>
        </w:rPr>
        <w:drawing>
          <wp:inline distT="0" distB="0" distL="0" distR="0" wp14:anchorId="7C31023D" wp14:editId="3424744B">
            <wp:extent cx="4780136" cy="6972300"/>
            <wp:effectExtent l="25400" t="25400" r="20955" b="12700"/>
            <wp:docPr id="2" name="Picture 2" descr="Files:Current Client:Walkgrove:Sphere:Sphere graphics:Humanitarian-Programme-Cyc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s:Current Client:Walkgrove:Sphere:Sphere graphics:Humanitarian-Programme-Cycl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80136" cy="6972300"/>
                    </a:xfrm>
                    <a:prstGeom prst="rect">
                      <a:avLst/>
                    </a:prstGeom>
                    <a:noFill/>
                    <a:ln w="6350">
                      <a:solidFill>
                        <a:schemeClr val="tx2"/>
                      </a:solidFill>
                    </a:ln>
                  </pic:spPr>
                </pic:pic>
              </a:graphicData>
            </a:graphic>
          </wp:inline>
        </w:drawing>
      </w:r>
    </w:p>
    <w:p w14:paraId="18061606" w14:textId="77777777" w:rsidR="005A7F89" w:rsidRDefault="005A7F89">
      <w:pPr>
        <w:spacing w:before="0" w:line="240" w:lineRule="auto"/>
        <w:rPr>
          <w:b/>
          <w:iCs/>
          <w:color w:val="004386" w:themeColor="text2"/>
          <w:szCs w:val="26"/>
        </w:rPr>
      </w:pPr>
      <w:r>
        <w:br w:type="page"/>
      </w:r>
    </w:p>
    <w:p w14:paraId="68A581B2" w14:textId="0D33D1D8" w:rsidR="0088527D" w:rsidRDefault="009D29D8" w:rsidP="005A7F89">
      <w:pPr>
        <w:pStyle w:val="Heading5"/>
      </w:pPr>
      <w:r>
        <w:lastRenderedPageBreak/>
        <w:t>Transforming the</w:t>
      </w:r>
      <w:r w:rsidR="0088527D">
        <w:t xml:space="preserve"> HPC</w:t>
      </w:r>
    </w:p>
    <w:p w14:paraId="306D7CFB" w14:textId="77777777" w:rsidR="0088527D" w:rsidRDefault="0088527D" w:rsidP="0088527D">
      <w:r>
        <w:t>National authorities have the primary responsibility for protecting and assisting people who are affected by emergencies. The role of international agencies and organisations is to support and complement the role of States and fill gaps in protection and assistance where these exist.</w:t>
      </w:r>
    </w:p>
    <w:p w14:paraId="73607190" w14:textId="77777777" w:rsidR="0088527D" w:rsidRDefault="0088527D" w:rsidP="0088527D">
      <w:r>
        <w:t xml:space="preserve">International agencies and organisations should therefore consult and engage with national </w:t>
      </w:r>
      <w:proofErr w:type="gramStart"/>
      <w:r>
        <w:t>authorities</w:t>
      </w:r>
      <w:proofErr w:type="gramEnd"/>
      <w:r>
        <w:t xml:space="preserve"> at all possible opportunities. Wherever it is appropriate, international interventions should take account of, complement and support national and local programmes.</w:t>
      </w:r>
    </w:p>
    <w:p w14:paraId="55F18CFC" w14:textId="77777777" w:rsidR="0088527D" w:rsidRDefault="0088527D" w:rsidP="0088527D">
      <w:r>
        <w:t>The Humanitarian Programme Cycle (HPC) is an important element of the Transformative Agenda (TA) which the IASC initiated in 2011 and which oversaw the development of guidance in coordination, leadership and accountability. Although the experience of sudden-onset crises in Haiti (2010) and Pakistan (2005) were the initial impetus for the TA, the majority of the guidance supports all humanitarian response, with only some guidance being specific to large scale “level 3” crises.</w:t>
      </w:r>
    </w:p>
    <w:p w14:paraId="2EBA7A23" w14:textId="77777777" w:rsidR="0088527D" w:rsidRDefault="0088527D" w:rsidP="0088527D">
      <w:r>
        <w:t>The HPC is guidance for all crises. It is designed to revitalize the way in which humanitarian actors coordinate to meet the needs of people affected by disasters and conflict. The HPC seeks to meet the needs of affected populations in the most effective way by clearly defining the complementary roles and responsibilities of the different organisations involved in a humanitarian response. It creates a process that redefines the way in which international humanitarian actors engage – with each other, with national and local authorities, and with populations affected by crisis – to achieve more effective, efficient, predictable and transparent outcomes.</w:t>
      </w:r>
    </w:p>
    <w:p w14:paraId="42EC5B58" w14:textId="77777777" w:rsidR="0088527D" w:rsidRDefault="0088527D" w:rsidP="000C421B">
      <w:pPr>
        <w:pStyle w:val="Heading5"/>
      </w:pPr>
      <w:r>
        <w:t>What is new about the HPC?</w:t>
      </w:r>
    </w:p>
    <w:p w14:paraId="00791584" w14:textId="77777777" w:rsidR="0088527D" w:rsidRDefault="0088527D" w:rsidP="0088527D">
      <w:r>
        <w:t>The HPC highlights the need to:</w:t>
      </w:r>
    </w:p>
    <w:p w14:paraId="403B1490" w14:textId="77777777" w:rsidR="0088527D" w:rsidRDefault="0088527D" w:rsidP="000C421B">
      <w:pPr>
        <w:pStyle w:val="bullet"/>
      </w:pPr>
      <w:r w:rsidRPr="000C421B">
        <w:rPr>
          <w:b/>
        </w:rPr>
        <w:t>Prepare as much as possible before emergencies strike</w:t>
      </w:r>
      <w:r>
        <w:t>. Preparedness may include planning, prepositioning, and the integration of emergency planning in development programming.</w:t>
      </w:r>
    </w:p>
    <w:p w14:paraId="3590A737" w14:textId="77777777" w:rsidR="0088527D" w:rsidRDefault="0088527D" w:rsidP="000C421B">
      <w:pPr>
        <w:pStyle w:val="bullet"/>
      </w:pPr>
      <w:r w:rsidRPr="000C421B">
        <w:rPr>
          <w:b/>
        </w:rPr>
        <w:t>Plan based on evidence</w:t>
      </w:r>
      <w:r>
        <w:t>. To develop a sound information base, organisations need to collect, analyse and share information in advance of crises; analyse new information; and ensure that decisions are evidence-based.</w:t>
      </w:r>
    </w:p>
    <w:p w14:paraId="096BB230" w14:textId="77777777" w:rsidR="0088527D" w:rsidRDefault="0088527D" w:rsidP="000C421B">
      <w:pPr>
        <w:pStyle w:val="bullet"/>
      </w:pPr>
      <w:r w:rsidRPr="000C421B">
        <w:rPr>
          <w:b/>
        </w:rPr>
        <w:t>Set priority objectives early and ensure they drive the response</w:t>
      </w:r>
      <w:r>
        <w:t>. To do this, those involved need strong and accountable leadership and excellent coordination.</w:t>
      </w:r>
    </w:p>
    <w:p w14:paraId="039FA0AD" w14:textId="77777777" w:rsidR="0088527D" w:rsidRDefault="0088527D" w:rsidP="000C421B">
      <w:pPr>
        <w:pStyle w:val="bullet"/>
      </w:pPr>
      <w:r w:rsidRPr="000C421B">
        <w:rPr>
          <w:b/>
        </w:rPr>
        <w:t>Locate decision-making in the field</w:t>
      </w:r>
      <w:r>
        <w:t>, as close as possible to the affected population. While international support is often essential, notably in large-scale emergencies, it is vital to work with and listen to national and local authorities, humanitarian organisations already in the country, local NGOs, and people affected by the crisis.</w:t>
      </w:r>
    </w:p>
    <w:p w14:paraId="1DE3BA08" w14:textId="77777777" w:rsidR="0088527D" w:rsidRDefault="0088527D" w:rsidP="000C421B">
      <w:pPr>
        <w:pStyle w:val="bullet"/>
      </w:pPr>
      <w:r w:rsidRPr="000C421B">
        <w:rPr>
          <w:b/>
        </w:rPr>
        <w:t xml:space="preserve">Monitor the impact </w:t>
      </w:r>
      <w:r>
        <w:t>of humanitarian action and adjust programmes in response. This requires the development of regular monitoring and periodic evaluation processes.</w:t>
      </w:r>
    </w:p>
    <w:p w14:paraId="44648CB0" w14:textId="5C1F148D" w:rsidR="0088527D" w:rsidRDefault="005A7F89" w:rsidP="005A7F89">
      <w:pPr>
        <w:pStyle w:val="Heading5"/>
      </w:pPr>
      <w:r>
        <w:t xml:space="preserve">Quality and Accountability – </w:t>
      </w:r>
      <w:r w:rsidR="0088527D">
        <w:t>Foundation of the HPC</w:t>
      </w:r>
    </w:p>
    <w:p w14:paraId="60761639" w14:textId="77777777" w:rsidR="0088527D" w:rsidRPr="005A7F89" w:rsidRDefault="0088527D" w:rsidP="0088527D">
      <w:pPr>
        <w:rPr>
          <w:b/>
        </w:rPr>
      </w:pPr>
      <w:r w:rsidRPr="005A7F89">
        <w:rPr>
          <w:b/>
        </w:rPr>
        <w:t>Accountability to affected people</w:t>
      </w:r>
    </w:p>
    <w:p w14:paraId="2D3F8431" w14:textId="77777777" w:rsidR="0088527D" w:rsidRDefault="0088527D" w:rsidP="0088527D">
      <w:r>
        <w:t>Humanitarian organisations engaged in a response are expected to listen to, engage with and communicate transparently with affected populations throughout all phases of the HPC. In December 2011, the IASC Principals endorsed the five commitments on Accountability to Affected Populations (AAP): leadership and governance; transparency; feedback and complaints; participation; design, monitoring and evaluation which can be found on the IASC website. Additional operational guidance is in development.</w:t>
      </w:r>
    </w:p>
    <w:p w14:paraId="78BF0C76" w14:textId="77777777" w:rsidR="0088527D" w:rsidRPr="005A7F89" w:rsidRDefault="0088527D" w:rsidP="0088527D">
      <w:pPr>
        <w:rPr>
          <w:b/>
        </w:rPr>
      </w:pPr>
      <w:r w:rsidRPr="005A7F89">
        <w:rPr>
          <w:b/>
        </w:rPr>
        <w:t>Cross cutting issues &amp; gender equality</w:t>
      </w:r>
    </w:p>
    <w:p w14:paraId="544E01B4" w14:textId="77777777" w:rsidR="0088527D" w:rsidRDefault="0088527D" w:rsidP="0088527D">
      <w:r>
        <w:t>Humanitarian organizations should not consider affected populations as a homogeneous group but acknowledge differences with respect to sex, gender, ethnicity, disability, age, and other social markers of exclusion. These differences should shape communication messages and community consultations (for assessment, design, implementation, etc.).</w:t>
      </w:r>
    </w:p>
    <w:p w14:paraId="4FA43387" w14:textId="77777777" w:rsidR="0088527D" w:rsidRDefault="0088527D" w:rsidP="0088527D">
      <w:r>
        <w:t>Gender equality is a fundamental principle of the UN. All agencies undertake to assess the implications for women and men of any planned action, including legislation, policies and programmes, in all areas and at all levels. Making women’s as well as men’s concerns and experiences an integral dimension of the design, implementation, monitoring and evaluation of humanitarian policies and programmes is vital to an effective response.</w:t>
      </w:r>
    </w:p>
    <w:p w14:paraId="6959936A" w14:textId="77777777" w:rsidR="0088527D" w:rsidRDefault="0088527D" w:rsidP="005A7F89">
      <w:pPr>
        <w:pStyle w:val="Heading3"/>
      </w:pPr>
      <w:r>
        <w:lastRenderedPageBreak/>
        <w:t>More resources for the project cycle</w:t>
      </w:r>
    </w:p>
    <w:p w14:paraId="70411833" w14:textId="066D507A" w:rsidR="005A7F89" w:rsidRDefault="00A34423" w:rsidP="005A7F89">
      <w:pPr>
        <w:pStyle w:val="Heading5"/>
      </w:pPr>
      <w:r>
        <w:t>Sphere for</w:t>
      </w:r>
      <w:r w:rsidR="005A7F89">
        <w:t xml:space="preserve"> Assessments</w:t>
      </w:r>
    </w:p>
    <w:p w14:paraId="378F0075" w14:textId="77777777" w:rsidR="00A34423" w:rsidRDefault="00A34423" w:rsidP="00A34423">
      <w:r>
        <w:t>Sphere for Assessments has been developed by the Sphere Project and ACAPS. It is a short guide to help staff identify and implement sections of the Sphere Handbook most relevant for assessment.</w:t>
      </w:r>
    </w:p>
    <w:p w14:paraId="04116472" w14:textId="77777777" w:rsidR="00A34423" w:rsidRDefault="00A34423" w:rsidP="00A34423">
      <w:r>
        <w:t>It is geared towards assessment teams in the field, managers implementing organisation-wide assessment strategy, and coordinators developing and implementing joint assessments.</w:t>
      </w:r>
    </w:p>
    <w:p w14:paraId="2A471805" w14:textId="77777777" w:rsidR="00A34423" w:rsidRPr="00A34423" w:rsidRDefault="00A34423" w:rsidP="00A34423">
      <w:r>
        <w:t xml:space="preserve">This tool is part of the </w:t>
      </w:r>
      <w:r w:rsidRPr="00A34423">
        <w:t>ongoing series of ‘sphere unpacked’ guides that will cover the humanitarian programming cycle currently including assessment, monitoring and evaluation.</w:t>
      </w:r>
    </w:p>
    <w:p w14:paraId="047150E9" w14:textId="77777777" w:rsidR="00A34423" w:rsidRDefault="00A34423" w:rsidP="00A34423">
      <w:r w:rsidRPr="00A34423">
        <w:t>You can find this guide on the Sphere website.</w:t>
      </w:r>
    </w:p>
    <w:p w14:paraId="1658B0E9" w14:textId="68E29D1A" w:rsidR="005A7F89" w:rsidRDefault="005A7F89" w:rsidP="005A7F89">
      <w:pPr>
        <w:spacing w:before="400" w:after="400"/>
        <w:jc w:val="center"/>
      </w:pPr>
      <w:r>
        <w:rPr>
          <w:rFonts w:ascii="Helvetica" w:hAnsi="Helvetica" w:cs="Helvetica"/>
          <w:bCs w:val="0"/>
          <w:noProof/>
          <w:sz w:val="24"/>
          <w:lang w:eastAsia="en-GB"/>
        </w:rPr>
        <w:drawing>
          <wp:inline distT="0" distB="0" distL="0" distR="0" wp14:anchorId="62A909D4" wp14:editId="39E14D39">
            <wp:extent cx="1816100" cy="2565866"/>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16100" cy="2565866"/>
                    </a:xfrm>
                    <a:prstGeom prst="rect">
                      <a:avLst/>
                    </a:prstGeom>
                    <a:noFill/>
                    <a:ln>
                      <a:noFill/>
                    </a:ln>
                  </pic:spPr>
                </pic:pic>
              </a:graphicData>
            </a:graphic>
          </wp:inline>
        </w:drawing>
      </w:r>
    </w:p>
    <w:p w14:paraId="1443B4CE" w14:textId="7780C11B" w:rsidR="0088527D" w:rsidRDefault="00A34423" w:rsidP="005A7F89">
      <w:pPr>
        <w:pStyle w:val="Heading5"/>
      </w:pPr>
      <w:r>
        <w:t>Sphere for</w:t>
      </w:r>
      <w:r w:rsidR="0088527D">
        <w:t xml:space="preserve"> Monitoring and Evaluation</w:t>
      </w:r>
    </w:p>
    <w:p w14:paraId="5C2CE620" w14:textId="16ADD29B" w:rsidR="00A34423" w:rsidRPr="002D781A" w:rsidRDefault="00A34423" w:rsidP="00A34423">
      <w:r w:rsidRPr="002D781A">
        <w:t>“Sphere for Monitoring and Evaluation” together with “</w:t>
      </w:r>
      <w:r w:rsidR="00C23D4E">
        <w:t>Sphere for Assessments” explain</w:t>
      </w:r>
      <w:r w:rsidRPr="002D781A">
        <w:t xml:space="preserve"> how to integrate key elements of Sphere’s people-centred approach into the humanitarian programme cycle. These guides indicate the relevant parts of the Sphere Handbook at different moments of the response process and should therefore be used together with the Handbook.</w:t>
      </w:r>
    </w:p>
    <w:p w14:paraId="41853DE1" w14:textId="77777777" w:rsidR="00A34423" w:rsidRPr="00D00B16" w:rsidRDefault="00A34423" w:rsidP="00A34423">
      <w:pPr>
        <w:rPr>
          <w:rStyle w:val="Hyperlink"/>
          <w:color w:val="auto"/>
          <w:u w:val="none"/>
        </w:rPr>
      </w:pPr>
      <w:r w:rsidRPr="002D781A">
        <w:t xml:space="preserve">Both “Sphere unpacked” guides are compatible in spirit with the Inter Agency Standing Committee (IASC) Humanitarian Programme Cycle guidance. They are particularly relevant for IASC’s ‘needs assessment and </w:t>
      </w:r>
      <w:proofErr w:type="gramStart"/>
      <w:r w:rsidRPr="002D781A">
        <w:t>analysis’</w:t>
      </w:r>
      <w:proofErr w:type="gramEnd"/>
      <w:r w:rsidRPr="002D781A">
        <w:t xml:space="preserve">, ‘implementation and monitoring’ and ‘operational review and evaluation’. </w:t>
      </w:r>
    </w:p>
    <w:p w14:paraId="2FA3BBED" w14:textId="77777777" w:rsidR="00A34423" w:rsidRDefault="00A34423" w:rsidP="00A34423">
      <w:pPr>
        <w:rPr>
          <w:rStyle w:val="Hyperlink"/>
          <w:lang w:val="en-US"/>
        </w:rPr>
      </w:pPr>
    </w:p>
    <w:p w14:paraId="493368B9" w14:textId="60D916AC" w:rsidR="00F80F81" w:rsidRDefault="00F80F81" w:rsidP="00F80F81"/>
    <w:p w14:paraId="6614C956" w14:textId="61115E2A" w:rsidR="00F961DF" w:rsidRDefault="00F961DF" w:rsidP="00F961DF"/>
    <w:p w14:paraId="701E8076" w14:textId="3DAFF30D" w:rsidR="003918D7" w:rsidRDefault="003918D7" w:rsidP="00267AF2">
      <w:pPr>
        <w:rPr>
          <w:rStyle w:val="Hyperlink"/>
          <w:lang w:val="en-US"/>
        </w:rPr>
      </w:pPr>
    </w:p>
    <w:p w14:paraId="248C83FB" w14:textId="77777777" w:rsidR="00F961DF" w:rsidRDefault="00F961DF" w:rsidP="00267AF2">
      <w:pPr>
        <w:rPr>
          <w:rStyle w:val="Hyperlink"/>
          <w:lang w:val="en-US"/>
        </w:rPr>
      </w:pPr>
    </w:p>
    <w:p w14:paraId="75571652" w14:textId="77777777" w:rsidR="00700614" w:rsidRDefault="00700614" w:rsidP="00267AF2">
      <w:pPr>
        <w:sectPr w:rsidR="00700614" w:rsidSect="00F51600">
          <w:headerReference w:type="even" r:id="rId10"/>
          <w:headerReference w:type="default" r:id="rId11"/>
          <w:footerReference w:type="even" r:id="rId12"/>
          <w:footerReference w:type="default" r:id="rId13"/>
          <w:headerReference w:type="first" r:id="rId14"/>
          <w:footerReference w:type="first" r:id="rId15"/>
          <w:type w:val="continuous"/>
          <w:pgSz w:w="11906" w:h="16838"/>
          <w:pgMar w:top="1418" w:right="1247" w:bottom="851" w:left="1247" w:header="709" w:footer="454" w:gutter="0"/>
          <w:cols w:space="720"/>
          <w:titlePg/>
          <w:docGrid w:linePitch="360"/>
        </w:sectPr>
      </w:pPr>
    </w:p>
    <w:p w14:paraId="7F4E9F56" w14:textId="77777777" w:rsidR="00F607AF" w:rsidRDefault="00F607AF" w:rsidP="00F607AF">
      <w:pPr>
        <w:pStyle w:val="Heading3"/>
      </w:pPr>
      <w:r>
        <w:lastRenderedPageBreak/>
        <w:t>Core standards related to the 5 phases of the project cycle from the Sphere Project and its companions</w:t>
      </w:r>
    </w:p>
    <w:p w14:paraId="0643AD31" w14:textId="77777777" w:rsidR="00F607AF" w:rsidRDefault="00F607AF" w:rsidP="00F607AF">
      <w:pPr>
        <w:pStyle w:val="credit"/>
      </w:pPr>
      <w:r>
        <w:t>Abstract from the booklet ‘Quality and Accountability for Project Cycle Management’ published by Community World Service Asia</w:t>
      </w:r>
    </w:p>
    <w:p w14:paraId="4327DC02" w14:textId="1DD25DD7" w:rsidR="0052647A" w:rsidRPr="00F002DF" w:rsidRDefault="0052647A" w:rsidP="00F002DF"/>
    <w:tbl>
      <w:tblPr>
        <w:tblStyle w:val="Grilledutableau1"/>
        <w:tblW w:w="11165" w:type="dxa"/>
        <w:jc w:val="center"/>
        <w:tblLayout w:type="fixed"/>
        <w:tblLook w:val="04A0" w:firstRow="1" w:lastRow="0" w:firstColumn="1" w:lastColumn="0" w:noHBand="0" w:noVBand="1"/>
      </w:tblPr>
      <w:tblGrid>
        <w:gridCol w:w="1061"/>
        <w:gridCol w:w="4120"/>
        <w:gridCol w:w="801"/>
        <w:gridCol w:w="4122"/>
        <w:gridCol w:w="1061"/>
      </w:tblGrid>
      <w:tr w:rsidR="003A2C62" w:rsidRPr="002A39CD" w14:paraId="06008288" w14:textId="77777777" w:rsidTr="006C0D83">
        <w:trPr>
          <w:jc w:val="center"/>
        </w:trPr>
        <w:tc>
          <w:tcPr>
            <w:tcW w:w="1134" w:type="dxa"/>
            <w:tcBorders>
              <w:top w:val="nil"/>
              <w:left w:val="nil"/>
              <w:bottom w:val="nil"/>
              <w:right w:val="single" w:sz="4" w:space="0" w:color="579305" w:themeColor="accent1"/>
            </w:tcBorders>
            <w:vAlign w:val="center"/>
          </w:tcPr>
          <w:p w14:paraId="6B45775D" w14:textId="77777777" w:rsidR="003A2C62" w:rsidRPr="002A39CD" w:rsidRDefault="003A2C62" w:rsidP="006C0D83">
            <w:pPr>
              <w:spacing w:before="40" w:after="40"/>
              <w:jc w:val="center"/>
              <w:rPr>
                <w:noProof/>
                <w:sz w:val="16"/>
                <w:szCs w:val="16"/>
              </w:rPr>
            </w:pP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63012AFC" w14:textId="77777777" w:rsidR="003A2C62" w:rsidRPr="002A39CD" w:rsidRDefault="003A2C62" w:rsidP="003A2C62">
            <w:pPr>
              <w:pStyle w:val="tableheading"/>
              <w:jc w:val="center"/>
            </w:pPr>
            <w:r w:rsidRPr="002A39CD">
              <w:t>Assessment</w:t>
            </w:r>
          </w:p>
        </w:tc>
        <w:tc>
          <w:tcPr>
            <w:tcW w:w="851" w:type="dxa"/>
            <w:vMerge w:val="restart"/>
            <w:tcBorders>
              <w:top w:val="nil"/>
              <w:left w:val="single" w:sz="4" w:space="0" w:color="579305" w:themeColor="accent1"/>
              <w:bottom w:val="nil"/>
              <w:right w:val="single" w:sz="4" w:space="0" w:color="579305" w:themeColor="accent1"/>
            </w:tcBorders>
            <w:vAlign w:val="center"/>
          </w:tcPr>
          <w:p w14:paraId="3EDAFDA8" w14:textId="2BAB0A7C" w:rsidR="003A2C62" w:rsidRPr="002A39CD" w:rsidRDefault="003A2C62" w:rsidP="003A2C62">
            <w:pPr>
              <w:ind w:left="113" w:right="113"/>
              <w:jc w:val="center"/>
              <w:rPr>
                <w:rFonts w:ascii="Copperplate Gothic Light" w:hAnsi="Copperplate Gothic Light"/>
                <w:b/>
                <w:bCs w:val="0"/>
                <w:color w:val="1F497D"/>
                <w:sz w:val="40"/>
                <w:szCs w:val="40"/>
                <w:lang w:eastAsia="fr-FR"/>
              </w:rPr>
            </w:pPr>
            <w:r>
              <w:rPr>
                <w:rFonts w:ascii="Copperplate Gothic Light" w:hAnsi="Copperplate Gothic Light"/>
                <w:b/>
                <w:bCs w:val="0"/>
                <w:color w:val="1F497D"/>
                <w:sz w:val="40"/>
                <w:szCs w:val="40"/>
                <w:lang w:eastAsia="fr-FR"/>
              </w:rPr>
              <w:t>PC</w:t>
            </w:r>
            <w:r w:rsidR="00C30755">
              <w:rPr>
                <w:rFonts w:ascii="Copperplate Gothic Light" w:hAnsi="Copperplate Gothic Light"/>
                <w:b/>
                <w:bCs w:val="0"/>
                <w:color w:val="1F497D"/>
                <w:sz w:val="40"/>
                <w:szCs w:val="40"/>
                <w:lang w:eastAsia="fr-FR"/>
              </w:rPr>
              <w:t xml:space="preserve"> M</w:t>
            </w: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7241F663" w14:textId="77777777" w:rsidR="003A2C62" w:rsidRPr="002A39CD" w:rsidRDefault="003A2C62" w:rsidP="003A2C62">
            <w:pPr>
              <w:pStyle w:val="tableheading"/>
              <w:jc w:val="center"/>
            </w:pPr>
            <w:r w:rsidRPr="002A39CD">
              <w:t>Analysis</w:t>
            </w:r>
          </w:p>
        </w:tc>
        <w:tc>
          <w:tcPr>
            <w:tcW w:w="1134" w:type="dxa"/>
            <w:tcBorders>
              <w:top w:val="nil"/>
              <w:left w:val="single" w:sz="4" w:space="0" w:color="579305" w:themeColor="accent1"/>
              <w:bottom w:val="nil"/>
              <w:right w:val="nil"/>
            </w:tcBorders>
            <w:vAlign w:val="center"/>
          </w:tcPr>
          <w:p w14:paraId="6796246E" w14:textId="77777777" w:rsidR="003A2C62" w:rsidRPr="002A39CD" w:rsidRDefault="003A2C62" w:rsidP="006C0D83">
            <w:pPr>
              <w:spacing w:before="40" w:after="40"/>
              <w:jc w:val="center"/>
              <w:rPr>
                <w:noProof/>
                <w:sz w:val="16"/>
                <w:szCs w:val="16"/>
              </w:rPr>
            </w:pPr>
          </w:p>
        </w:tc>
      </w:tr>
      <w:tr w:rsidR="003A2C62" w:rsidRPr="002A39CD" w14:paraId="70A17404" w14:textId="77777777" w:rsidTr="006C0D83">
        <w:trPr>
          <w:jc w:val="center"/>
        </w:trPr>
        <w:tc>
          <w:tcPr>
            <w:tcW w:w="1134" w:type="dxa"/>
            <w:tcBorders>
              <w:top w:val="nil"/>
              <w:left w:val="nil"/>
              <w:bottom w:val="nil"/>
              <w:right w:val="single" w:sz="4" w:space="0" w:color="579305" w:themeColor="accent1"/>
            </w:tcBorders>
            <w:vAlign w:val="center"/>
          </w:tcPr>
          <w:p w14:paraId="5C9C4477" w14:textId="77777777" w:rsidR="003A2C62" w:rsidRPr="002A39CD" w:rsidRDefault="003A2C62" w:rsidP="006C0D83">
            <w:pPr>
              <w:spacing w:before="40" w:after="40"/>
              <w:jc w:val="center"/>
              <w:rPr>
                <w:noProof/>
                <w:sz w:val="16"/>
                <w:szCs w:val="16"/>
              </w:rPr>
            </w:pP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1FB77BF" w14:textId="77777777" w:rsidR="003A2C62" w:rsidRPr="002A39CD" w:rsidRDefault="003A2C62" w:rsidP="003A2C62">
            <w:pPr>
              <w:spacing w:before="120" w:line="264" w:lineRule="auto"/>
              <w:jc w:val="center"/>
              <w:rPr>
                <w:b/>
                <w:bCs w:val="0"/>
                <w:i/>
                <w:color w:val="548DD4"/>
                <w:sz w:val="16"/>
                <w:szCs w:val="16"/>
              </w:rPr>
            </w:pPr>
            <w:r w:rsidRPr="002A39CD">
              <w:rPr>
                <w:b/>
                <w:bCs w:val="0"/>
                <w:i/>
                <w:color w:val="548DD4"/>
                <w:sz w:val="16"/>
                <w:szCs w:val="16"/>
              </w:rPr>
              <w:t xml:space="preserve">Do you have mechanisms and resources in place </w:t>
            </w:r>
            <w:r w:rsidRPr="002A39CD">
              <w:rPr>
                <w:b/>
                <w:bCs w:val="0"/>
                <w:i/>
                <w:color w:val="548DD4"/>
                <w:sz w:val="16"/>
                <w:szCs w:val="16"/>
              </w:rPr>
              <w:br/>
              <w:t>to ensure continuous and unbiased assessments?</w:t>
            </w:r>
          </w:p>
        </w:tc>
        <w:tc>
          <w:tcPr>
            <w:tcW w:w="851" w:type="dxa"/>
            <w:vMerge/>
            <w:tcBorders>
              <w:top w:val="nil"/>
              <w:left w:val="single" w:sz="4" w:space="0" w:color="579305" w:themeColor="accent1"/>
              <w:bottom w:val="nil"/>
              <w:right w:val="single" w:sz="4" w:space="0" w:color="579305" w:themeColor="accent1"/>
            </w:tcBorders>
            <w:vAlign w:val="center"/>
          </w:tcPr>
          <w:p w14:paraId="572DD784" w14:textId="77777777" w:rsidR="003A2C62" w:rsidRPr="002A39CD" w:rsidRDefault="003A2C62" w:rsidP="003A2C62">
            <w:pPr>
              <w:ind w:left="113" w:right="113"/>
              <w:jc w:val="center"/>
              <w:rPr>
                <w:rFonts w:ascii="Copperplate Gothic Light" w:hAnsi="Copperplate Gothic Light"/>
                <w:b/>
                <w:bCs w:val="0"/>
                <w:color w:val="1F497D"/>
                <w:sz w:val="40"/>
                <w:szCs w:val="40"/>
                <w:lang w:eastAsia="fr-FR"/>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4B1C9FC" w14:textId="77777777" w:rsidR="003A2C62" w:rsidRPr="002A39CD" w:rsidRDefault="003A2C62" w:rsidP="003A2C62">
            <w:pPr>
              <w:spacing w:before="120" w:line="264" w:lineRule="auto"/>
              <w:jc w:val="center"/>
              <w:rPr>
                <w:b/>
                <w:bCs w:val="0"/>
                <w:i/>
                <w:color w:val="548DD4"/>
                <w:sz w:val="16"/>
                <w:szCs w:val="16"/>
              </w:rPr>
            </w:pPr>
            <w:r w:rsidRPr="002A39CD">
              <w:rPr>
                <w:b/>
                <w:bCs w:val="0"/>
                <w:i/>
                <w:color w:val="548DD4"/>
                <w:sz w:val="16"/>
                <w:szCs w:val="16"/>
              </w:rPr>
              <w:t xml:space="preserve">Are you </w:t>
            </w:r>
            <w:proofErr w:type="spellStart"/>
            <w:r w:rsidRPr="002A39CD">
              <w:rPr>
                <w:b/>
                <w:bCs w:val="0"/>
                <w:i/>
                <w:color w:val="548DD4"/>
                <w:sz w:val="16"/>
                <w:szCs w:val="16"/>
              </w:rPr>
              <w:t>analyzing</w:t>
            </w:r>
            <w:proofErr w:type="spellEnd"/>
            <w:r w:rsidRPr="002A39CD">
              <w:rPr>
                <w:b/>
                <w:bCs w:val="0"/>
                <w:i/>
                <w:color w:val="548DD4"/>
                <w:sz w:val="16"/>
                <w:szCs w:val="16"/>
              </w:rPr>
              <w:t xml:space="preserve"> both contextual and technical aspects </w:t>
            </w:r>
            <w:r w:rsidRPr="002A39CD">
              <w:rPr>
                <w:b/>
                <w:bCs w:val="0"/>
                <w:i/>
                <w:color w:val="548DD4"/>
                <w:sz w:val="16"/>
                <w:szCs w:val="16"/>
              </w:rPr>
              <w:br/>
              <w:t>linked to your project?</w:t>
            </w:r>
          </w:p>
        </w:tc>
        <w:tc>
          <w:tcPr>
            <w:tcW w:w="1134" w:type="dxa"/>
            <w:tcBorders>
              <w:top w:val="nil"/>
              <w:left w:val="single" w:sz="4" w:space="0" w:color="579305" w:themeColor="accent1"/>
              <w:bottom w:val="nil"/>
              <w:right w:val="nil"/>
            </w:tcBorders>
            <w:vAlign w:val="center"/>
          </w:tcPr>
          <w:p w14:paraId="039E72A9" w14:textId="77777777" w:rsidR="003A2C62" w:rsidRPr="002A39CD" w:rsidRDefault="003A2C62" w:rsidP="006C0D83">
            <w:pPr>
              <w:spacing w:before="40" w:after="40"/>
              <w:jc w:val="center"/>
              <w:rPr>
                <w:b/>
                <w:i/>
                <w:sz w:val="16"/>
                <w:szCs w:val="16"/>
                <w:lang w:eastAsia="fr-FR"/>
              </w:rPr>
            </w:pPr>
          </w:p>
        </w:tc>
      </w:tr>
      <w:tr w:rsidR="003A2C62" w:rsidRPr="002A39CD" w14:paraId="66B676D6" w14:textId="77777777" w:rsidTr="006C0D83">
        <w:trPr>
          <w:jc w:val="center"/>
        </w:trPr>
        <w:tc>
          <w:tcPr>
            <w:tcW w:w="1134" w:type="dxa"/>
            <w:tcBorders>
              <w:top w:val="nil"/>
              <w:left w:val="nil"/>
              <w:bottom w:val="nil"/>
              <w:right w:val="single" w:sz="4" w:space="0" w:color="579305" w:themeColor="accent1"/>
            </w:tcBorders>
            <w:vAlign w:val="center"/>
          </w:tcPr>
          <w:p w14:paraId="7CECA740" w14:textId="5FD5047C" w:rsidR="003A2C62" w:rsidRPr="002A39CD" w:rsidRDefault="006C0D83" w:rsidP="006C0D83">
            <w:pPr>
              <w:spacing w:before="40" w:after="40"/>
              <w:jc w:val="center"/>
              <w:rPr>
                <w:b/>
                <w:i/>
                <w:sz w:val="16"/>
                <w:szCs w:val="16"/>
                <w:highlight w:val="yellow"/>
                <w:lang w:eastAsia="fr-FR"/>
              </w:rPr>
            </w:pPr>
            <w:r>
              <w:rPr>
                <w:noProof/>
                <w:lang w:eastAsia="en-GB"/>
              </w:rPr>
              <w:drawing>
                <wp:inline distT="0" distB="0" distL="0" distR="0" wp14:anchorId="0A1A000A" wp14:editId="228034D6">
                  <wp:extent cx="502920" cy="719328"/>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1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1E8FED4" w14:textId="77777777" w:rsidR="000047A2" w:rsidRDefault="000047A2" w:rsidP="000047A2">
            <w:pPr>
              <w:spacing w:before="120" w:line="264" w:lineRule="auto"/>
              <w:rPr>
                <w:bCs w:val="0"/>
                <w:sz w:val="16"/>
                <w:szCs w:val="16"/>
              </w:rPr>
            </w:pPr>
            <w:r w:rsidRPr="002A39CD">
              <w:rPr>
                <w:b/>
                <w:bCs w:val="0"/>
                <w:sz w:val="16"/>
                <w:szCs w:val="16"/>
              </w:rPr>
              <w:t>C</w:t>
            </w:r>
            <w:r>
              <w:rPr>
                <w:b/>
                <w:bCs w:val="0"/>
                <w:sz w:val="16"/>
                <w:szCs w:val="16"/>
              </w:rPr>
              <w:t xml:space="preserve">HS Commitment 1: </w:t>
            </w:r>
            <w:r w:rsidRPr="0067564A">
              <w:rPr>
                <w:bCs w:val="0"/>
                <w:sz w:val="16"/>
                <w:szCs w:val="16"/>
              </w:rPr>
              <w:t>Communities and people affected by crisis receive assistance appropriate to their needs</w:t>
            </w:r>
          </w:p>
          <w:p w14:paraId="6006357D" w14:textId="693EDBCB" w:rsidR="000047A2" w:rsidRPr="000047A2" w:rsidRDefault="000047A2" w:rsidP="000047A2">
            <w:pPr>
              <w:spacing w:before="120" w:line="264" w:lineRule="auto"/>
              <w:rPr>
                <w:i/>
                <w:iCs/>
                <w:color w:val="000000"/>
                <w:kern w:val="24"/>
                <w:sz w:val="14"/>
                <w:szCs w:val="14"/>
                <w:lang w:eastAsia="fr-FR"/>
              </w:rPr>
            </w:pPr>
            <w:r w:rsidRPr="000047A2">
              <w:rPr>
                <w:bCs w:val="0"/>
                <w:i/>
                <w:iCs/>
                <w:sz w:val="16"/>
                <w:szCs w:val="16"/>
              </w:rPr>
              <w:t>(The Core Humanitarian Standard replaces Sphere Core Standards Chapter).</w:t>
            </w:r>
          </w:p>
          <w:p w14:paraId="2FD4D08C" w14:textId="7D34E959" w:rsidR="003A2C62" w:rsidRPr="002A39CD" w:rsidRDefault="003A2C62" w:rsidP="003A2C62">
            <w:pPr>
              <w:kinsoku w:val="0"/>
              <w:overflowPunct w:val="0"/>
              <w:contextualSpacing/>
              <w:textAlignment w:val="baseline"/>
              <w:rPr>
                <w:color w:val="000000"/>
                <w:kern w:val="24"/>
                <w:sz w:val="14"/>
                <w:szCs w:val="14"/>
                <w:lang w:eastAsia="fr-FR"/>
              </w:rPr>
            </w:pPr>
          </w:p>
        </w:tc>
        <w:tc>
          <w:tcPr>
            <w:tcW w:w="851" w:type="dxa"/>
            <w:vMerge/>
            <w:tcBorders>
              <w:top w:val="nil"/>
              <w:left w:val="single" w:sz="4" w:space="0" w:color="579305" w:themeColor="accent1"/>
              <w:bottom w:val="nil"/>
              <w:right w:val="single" w:sz="4" w:space="0" w:color="579305" w:themeColor="accent1"/>
            </w:tcBorders>
            <w:vAlign w:val="center"/>
          </w:tcPr>
          <w:p w14:paraId="12516321" w14:textId="77777777" w:rsidR="003A2C62" w:rsidRPr="002A39CD" w:rsidRDefault="003A2C62" w:rsidP="003A2C62">
            <w:pPr>
              <w:ind w:left="113" w:right="113"/>
              <w:jc w:val="center"/>
              <w:rPr>
                <w:rFonts w:ascii="Copperplate Gothic Light" w:hAnsi="Copperplate Gothic Light"/>
                <w:b/>
                <w:bCs w:val="0"/>
                <w:color w:val="1F497D"/>
                <w:sz w:val="40"/>
                <w:szCs w:val="40"/>
                <w:lang w:eastAsia="fr-FR"/>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7549B6A" w14:textId="77777777" w:rsidR="003A2C62" w:rsidRPr="002A39CD" w:rsidRDefault="003A2C62" w:rsidP="003A2C62">
            <w:pPr>
              <w:kinsoku w:val="0"/>
              <w:overflowPunct w:val="0"/>
              <w:contextualSpacing/>
              <w:textAlignment w:val="baseline"/>
              <w:rPr>
                <w:sz w:val="16"/>
                <w:szCs w:val="16"/>
                <w:lang w:eastAsia="fr-FR"/>
              </w:rPr>
            </w:pPr>
            <w:r w:rsidRPr="002A39CD">
              <w:rPr>
                <w:b/>
                <w:bCs w:val="0"/>
                <w:sz w:val="16"/>
                <w:szCs w:val="16"/>
              </w:rPr>
              <w:t>Standards to ensure a quality response/ Standard 4:</w:t>
            </w:r>
            <w:r w:rsidRPr="002A39CD">
              <w:rPr>
                <w:bCs w:val="0"/>
                <w:sz w:val="16"/>
                <w:szCs w:val="16"/>
              </w:rPr>
              <w:t xml:space="preserve"> </w:t>
            </w:r>
            <w:r w:rsidRPr="002A39CD">
              <w:rPr>
                <w:b/>
                <w:bCs w:val="0"/>
                <w:sz w:val="16"/>
                <w:szCs w:val="16"/>
              </w:rPr>
              <w:t>Programme cycle management</w:t>
            </w:r>
            <w:r w:rsidRPr="002A39CD">
              <w:rPr>
                <w:b/>
                <w:bCs w:val="0"/>
                <w:sz w:val="16"/>
                <w:szCs w:val="16"/>
              </w:rPr>
              <w:br/>
            </w:r>
            <w:r w:rsidRPr="002A39CD">
              <w:rPr>
                <w:bCs w:val="0"/>
                <w:sz w:val="16"/>
                <w:szCs w:val="16"/>
              </w:rPr>
              <w:t>All child protection programmes build on existing capacities, resources and structures and address the evolving child protection risks and needs identified by, girls, boys and adults affected by the emergency.</w:t>
            </w:r>
          </w:p>
        </w:tc>
        <w:tc>
          <w:tcPr>
            <w:tcW w:w="1134" w:type="dxa"/>
            <w:tcBorders>
              <w:top w:val="nil"/>
              <w:left w:val="single" w:sz="4" w:space="0" w:color="579305" w:themeColor="accent1"/>
              <w:bottom w:val="nil"/>
              <w:right w:val="nil"/>
            </w:tcBorders>
            <w:vAlign w:val="center"/>
          </w:tcPr>
          <w:p w14:paraId="63DB14B6" w14:textId="671EF119" w:rsidR="003A2C62" w:rsidRPr="002A39CD" w:rsidRDefault="005A7E9A" w:rsidP="006C0D83">
            <w:pPr>
              <w:spacing w:before="40" w:after="40"/>
              <w:jc w:val="center"/>
              <w:rPr>
                <w:b/>
                <w:i/>
                <w:sz w:val="16"/>
                <w:szCs w:val="16"/>
                <w:highlight w:val="yellow"/>
                <w:lang w:eastAsia="fr-FR"/>
              </w:rPr>
            </w:pPr>
            <w:r>
              <w:rPr>
                <w:noProof/>
                <w:lang w:eastAsia="en-GB"/>
              </w:rPr>
              <w:drawing>
                <wp:inline distT="0" distB="0" distL="0" distR="0" wp14:anchorId="29143F8C" wp14:editId="08D6B42E">
                  <wp:extent cx="502920" cy="719328"/>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17">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r>
      <w:tr w:rsidR="003A2C62" w:rsidRPr="002A39CD" w14:paraId="56CCD01E" w14:textId="77777777" w:rsidTr="006C0D83">
        <w:trPr>
          <w:jc w:val="center"/>
        </w:trPr>
        <w:tc>
          <w:tcPr>
            <w:tcW w:w="1134" w:type="dxa"/>
            <w:tcBorders>
              <w:top w:val="nil"/>
              <w:left w:val="nil"/>
              <w:bottom w:val="nil"/>
              <w:right w:val="single" w:sz="4" w:space="0" w:color="579305" w:themeColor="accent1"/>
            </w:tcBorders>
            <w:vAlign w:val="center"/>
          </w:tcPr>
          <w:p w14:paraId="00F9DF17" w14:textId="3B84B822" w:rsidR="003A2C62" w:rsidRPr="002A39CD" w:rsidRDefault="005A7E9A" w:rsidP="006C0D83">
            <w:pPr>
              <w:spacing w:before="40" w:after="40"/>
              <w:jc w:val="center"/>
              <w:rPr>
                <w:b/>
                <w:i/>
                <w:sz w:val="16"/>
                <w:szCs w:val="16"/>
                <w:highlight w:val="yellow"/>
                <w:lang w:eastAsia="fr-FR"/>
              </w:rPr>
            </w:pPr>
            <w:r>
              <w:rPr>
                <w:noProof/>
                <w:lang w:eastAsia="en-GB"/>
              </w:rPr>
              <w:drawing>
                <wp:inline distT="0" distB="0" distL="0" distR="0" wp14:anchorId="6D98B67B" wp14:editId="169D8D7D">
                  <wp:extent cx="502920" cy="719328"/>
                  <wp:effectExtent l="0" t="0" r="508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17">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CF025B0" w14:textId="77777777" w:rsidR="003A2C62" w:rsidRPr="002A39CD" w:rsidRDefault="003A2C62" w:rsidP="003A2C62">
            <w:pPr>
              <w:spacing w:before="120" w:line="264" w:lineRule="auto"/>
              <w:rPr>
                <w:bCs w:val="0"/>
                <w:sz w:val="16"/>
                <w:szCs w:val="16"/>
              </w:rPr>
            </w:pPr>
            <w:r w:rsidRPr="002A39CD">
              <w:rPr>
                <w:b/>
                <w:bCs w:val="0"/>
                <w:sz w:val="16"/>
                <w:szCs w:val="16"/>
              </w:rPr>
              <w:t>Standards to ensure a quality response/ Standard 5:</w:t>
            </w:r>
            <w:r w:rsidRPr="002A39CD">
              <w:rPr>
                <w:bCs w:val="0"/>
                <w:sz w:val="16"/>
                <w:szCs w:val="16"/>
              </w:rPr>
              <w:t xml:space="preserve"> </w:t>
            </w:r>
            <w:r w:rsidRPr="002A39CD">
              <w:rPr>
                <w:b/>
                <w:bCs w:val="0"/>
                <w:sz w:val="16"/>
                <w:szCs w:val="16"/>
              </w:rPr>
              <w:t>Information management</w:t>
            </w:r>
            <w:r w:rsidRPr="002A39CD">
              <w:rPr>
                <w:b/>
                <w:bCs w:val="0"/>
                <w:sz w:val="16"/>
                <w:szCs w:val="16"/>
              </w:rPr>
              <w:br/>
            </w:r>
            <w:r w:rsidRPr="002A39CD">
              <w:rPr>
                <w:bCs w:val="0"/>
                <w:sz w:val="16"/>
                <w:szCs w:val="16"/>
              </w:rPr>
              <w:t xml:space="preserve">Up-to-date information necessary for effective child protection programming is collected, used, stored and shared, with full respect for confidentiality, and in accordance with the </w:t>
            </w:r>
            <w:r>
              <w:rPr>
                <w:bCs w:val="0"/>
                <w:sz w:val="16"/>
                <w:szCs w:val="16"/>
              </w:rPr>
              <w:t>‘</w:t>
            </w:r>
            <w:r w:rsidRPr="002A39CD">
              <w:rPr>
                <w:bCs w:val="0"/>
                <w:sz w:val="16"/>
                <w:szCs w:val="16"/>
              </w:rPr>
              <w:t>do no harm</w:t>
            </w:r>
            <w:r>
              <w:rPr>
                <w:bCs w:val="0"/>
                <w:sz w:val="16"/>
                <w:szCs w:val="16"/>
              </w:rPr>
              <w:t>’</w:t>
            </w:r>
            <w:r w:rsidRPr="002A39CD">
              <w:rPr>
                <w:bCs w:val="0"/>
                <w:sz w:val="16"/>
                <w:szCs w:val="16"/>
              </w:rPr>
              <w:t xml:space="preserve"> principle and the best interests of children.</w:t>
            </w:r>
          </w:p>
        </w:tc>
        <w:tc>
          <w:tcPr>
            <w:tcW w:w="851" w:type="dxa"/>
            <w:vMerge/>
            <w:tcBorders>
              <w:top w:val="nil"/>
              <w:left w:val="single" w:sz="4" w:space="0" w:color="579305" w:themeColor="accent1"/>
              <w:bottom w:val="nil"/>
              <w:right w:val="single" w:sz="4" w:space="0" w:color="579305" w:themeColor="accent1"/>
            </w:tcBorders>
          </w:tcPr>
          <w:p w14:paraId="73E28A7B" w14:textId="77777777" w:rsidR="003A2C62" w:rsidRPr="002A39CD" w:rsidRDefault="003A2C62" w:rsidP="003A2C62">
            <w:pPr>
              <w:ind w:left="113" w:right="113"/>
              <w:jc w:val="center"/>
              <w:rPr>
                <w:rFonts w:ascii="Copperplate Gothic Light" w:hAnsi="Copperplate Gothic Light"/>
                <w:b/>
                <w:bCs w:val="0"/>
                <w:color w:val="1F497D"/>
                <w:sz w:val="40"/>
                <w:szCs w:val="40"/>
                <w:lang w:eastAsia="fr-FR"/>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4E78934" w14:textId="77777777" w:rsidR="003A2C62" w:rsidRPr="002A39CD" w:rsidRDefault="003A2C62" w:rsidP="003A2C62">
            <w:pPr>
              <w:spacing w:before="120" w:line="264" w:lineRule="auto"/>
              <w:rPr>
                <w:bCs w:val="0"/>
                <w:sz w:val="16"/>
                <w:szCs w:val="16"/>
              </w:rPr>
            </w:pPr>
            <w:r w:rsidRPr="002A39CD">
              <w:rPr>
                <w:b/>
                <w:bCs w:val="0"/>
                <w:sz w:val="16"/>
                <w:szCs w:val="16"/>
              </w:rPr>
              <w:t>Foundational Standard-Analysis/ Standard 2:</w:t>
            </w:r>
            <w:r w:rsidRPr="002A39CD">
              <w:rPr>
                <w:rFonts w:cs="Myriad Pro"/>
                <w:bCs w:val="0"/>
                <w:sz w:val="16"/>
                <w:szCs w:val="16"/>
              </w:rPr>
              <w:t xml:space="preserve"> </w:t>
            </w:r>
            <w:r w:rsidRPr="002A39CD">
              <w:rPr>
                <w:b/>
                <w:bCs w:val="0"/>
                <w:sz w:val="16"/>
                <w:szCs w:val="16"/>
              </w:rPr>
              <w:t>Response strategies</w:t>
            </w:r>
            <w:r w:rsidRPr="002A39CD">
              <w:rPr>
                <w:b/>
                <w:bCs w:val="0"/>
                <w:sz w:val="16"/>
                <w:szCs w:val="16"/>
              </w:rPr>
              <w:br/>
            </w:r>
            <w:r w:rsidRPr="002A39CD">
              <w:rPr>
                <w:bCs w:val="0"/>
                <w:sz w:val="16"/>
                <w:szCs w:val="16"/>
              </w:rPr>
              <w:t>Inclusive education response strategies include a clear description of the context, barriers to the right to education and strategies to overcome those barriers.</w:t>
            </w:r>
          </w:p>
        </w:tc>
        <w:tc>
          <w:tcPr>
            <w:tcW w:w="1134" w:type="dxa"/>
            <w:tcBorders>
              <w:top w:val="nil"/>
              <w:left w:val="single" w:sz="4" w:space="0" w:color="579305" w:themeColor="accent1"/>
              <w:bottom w:val="nil"/>
              <w:right w:val="nil"/>
            </w:tcBorders>
            <w:vAlign w:val="center"/>
          </w:tcPr>
          <w:p w14:paraId="51878381" w14:textId="3F7E76B4" w:rsidR="003A2C62" w:rsidRPr="002A39CD" w:rsidRDefault="006C0D83" w:rsidP="006C0D83">
            <w:pPr>
              <w:spacing w:before="40" w:after="40"/>
              <w:jc w:val="center"/>
              <w:rPr>
                <w:b/>
                <w:i/>
                <w:sz w:val="16"/>
                <w:szCs w:val="16"/>
                <w:highlight w:val="yellow"/>
                <w:lang w:eastAsia="fr-FR"/>
              </w:rPr>
            </w:pPr>
            <w:r>
              <w:rPr>
                <w:noProof/>
                <w:lang w:eastAsia="en-GB"/>
              </w:rPr>
              <w:drawing>
                <wp:inline distT="0" distB="0" distL="0" distR="0" wp14:anchorId="719CB1C0" wp14:editId="235C1534">
                  <wp:extent cx="504000" cy="719328"/>
                  <wp:effectExtent l="0" t="0" r="4445"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18">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r>
      <w:tr w:rsidR="003A2C62" w:rsidRPr="002A39CD" w14:paraId="1944B56E" w14:textId="77777777" w:rsidTr="006C0D83">
        <w:trPr>
          <w:trHeight w:val="753"/>
          <w:jc w:val="center"/>
        </w:trPr>
        <w:tc>
          <w:tcPr>
            <w:tcW w:w="1134" w:type="dxa"/>
            <w:tcBorders>
              <w:top w:val="nil"/>
              <w:left w:val="nil"/>
              <w:bottom w:val="nil"/>
              <w:right w:val="single" w:sz="4" w:space="0" w:color="579305" w:themeColor="accent1"/>
            </w:tcBorders>
            <w:vAlign w:val="center"/>
          </w:tcPr>
          <w:p w14:paraId="0A58EA17" w14:textId="293016C1" w:rsidR="003A2C62" w:rsidRPr="002A39CD" w:rsidRDefault="006C0D83" w:rsidP="006C0D83">
            <w:pPr>
              <w:spacing w:before="40" w:after="40"/>
              <w:jc w:val="center"/>
              <w:rPr>
                <w:b/>
                <w:i/>
                <w:sz w:val="16"/>
                <w:szCs w:val="16"/>
                <w:highlight w:val="yellow"/>
                <w:lang w:eastAsia="fr-FR"/>
              </w:rPr>
            </w:pPr>
            <w:r>
              <w:rPr>
                <w:noProof/>
                <w:lang w:eastAsia="en-GB"/>
              </w:rPr>
              <w:drawing>
                <wp:inline distT="0" distB="0" distL="0" distR="0" wp14:anchorId="34E5BAD0" wp14:editId="6C3C8916">
                  <wp:extent cx="504000" cy="719328"/>
                  <wp:effectExtent l="0" t="0" r="4445"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18">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0192A02" w14:textId="77777777" w:rsidR="003A2C62" w:rsidRPr="002A39CD" w:rsidRDefault="003A2C62" w:rsidP="003A2C62">
            <w:pPr>
              <w:spacing w:before="120" w:line="264" w:lineRule="auto"/>
              <w:rPr>
                <w:bCs w:val="0"/>
                <w:sz w:val="16"/>
                <w:szCs w:val="16"/>
              </w:rPr>
            </w:pPr>
            <w:r w:rsidRPr="002A39CD">
              <w:rPr>
                <w:b/>
                <w:bCs w:val="0"/>
                <w:sz w:val="16"/>
                <w:szCs w:val="16"/>
              </w:rPr>
              <w:t>Foundational Standard-Analysis/ Standard 1:</w:t>
            </w:r>
            <w:r w:rsidRPr="002A39CD">
              <w:rPr>
                <w:rFonts w:cs="Myriad Pro"/>
                <w:bCs w:val="0"/>
                <w:sz w:val="16"/>
                <w:szCs w:val="16"/>
              </w:rPr>
              <w:t xml:space="preserve"> </w:t>
            </w:r>
            <w:r w:rsidRPr="002A39CD">
              <w:rPr>
                <w:b/>
                <w:bCs w:val="0"/>
                <w:sz w:val="16"/>
                <w:szCs w:val="16"/>
              </w:rPr>
              <w:t>Assessment</w:t>
            </w:r>
            <w:r w:rsidRPr="002A39CD">
              <w:rPr>
                <w:b/>
                <w:bCs w:val="0"/>
                <w:sz w:val="16"/>
                <w:szCs w:val="16"/>
              </w:rPr>
              <w:br/>
            </w:r>
            <w:r w:rsidRPr="002A39CD">
              <w:rPr>
                <w:bCs w:val="0"/>
                <w:sz w:val="16"/>
                <w:szCs w:val="16"/>
              </w:rPr>
              <w:t>Timely education assessments of the emergency situation are conducted in a holistic, transparent and participatory manner.</w:t>
            </w:r>
          </w:p>
        </w:tc>
        <w:tc>
          <w:tcPr>
            <w:tcW w:w="851" w:type="dxa"/>
            <w:vMerge/>
            <w:tcBorders>
              <w:top w:val="nil"/>
              <w:left w:val="single" w:sz="4" w:space="0" w:color="579305" w:themeColor="accent1"/>
              <w:bottom w:val="nil"/>
              <w:right w:val="single" w:sz="4" w:space="0" w:color="579305" w:themeColor="accent1"/>
            </w:tcBorders>
          </w:tcPr>
          <w:p w14:paraId="306D444D" w14:textId="77777777" w:rsidR="003A2C62" w:rsidRPr="002A39CD" w:rsidRDefault="003A2C62" w:rsidP="003A2C62">
            <w:pPr>
              <w:ind w:left="113" w:right="113"/>
              <w:jc w:val="center"/>
              <w:rPr>
                <w:rFonts w:ascii="Copperplate Gothic Light" w:hAnsi="Copperplate Gothic Light"/>
                <w:b/>
                <w:bCs w:val="0"/>
                <w:color w:val="1F497D"/>
                <w:sz w:val="40"/>
                <w:szCs w:val="40"/>
                <w:lang w:eastAsia="fr-FR"/>
              </w:rPr>
            </w:pPr>
          </w:p>
        </w:tc>
        <w:tc>
          <w:tcPr>
            <w:tcW w:w="4466" w:type="dxa"/>
            <w:vMerge w:val="restart"/>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6AE212F0" w14:textId="77777777" w:rsidR="003A2C62" w:rsidRPr="002A39CD" w:rsidRDefault="003A2C62" w:rsidP="003A2C62">
            <w:pPr>
              <w:spacing w:before="120" w:line="264" w:lineRule="auto"/>
              <w:rPr>
                <w:bCs w:val="0"/>
                <w:sz w:val="16"/>
                <w:szCs w:val="16"/>
              </w:rPr>
            </w:pPr>
            <w:r w:rsidRPr="002A39CD">
              <w:rPr>
                <w:b/>
                <w:bCs w:val="0"/>
                <w:sz w:val="16"/>
                <w:szCs w:val="16"/>
              </w:rPr>
              <w:t>Core Standard 5:</w:t>
            </w:r>
            <w:r w:rsidRPr="002A39CD">
              <w:rPr>
                <w:bCs w:val="0"/>
                <w:sz w:val="16"/>
                <w:szCs w:val="16"/>
              </w:rPr>
              <w:t xml:space="preserve"> </w:t>
            </w:r>
            <w:r w:rsidRPr="002A39CD">
              <w:rPr>
                <w:b/>
                <w:bCs w:val="0"/>
                <w:sz w:val="16"/>
                <w:szCs w:val="16"/>
              </w:rPr>
              <w:t>Well-defining targeting and interventions strategy</w:t>
            </w:r>
            <w:r w:rsidRPr="002A39CD">
              <w:rPr>
                <w:bCs w:val="0"/>
                <w:sz w:val="16"/>
                <w:szCs w:val="16"/>
              </w:rPr>
              <w:br/>
              <w:t>Selection of the best intervention point is based on sound client and market analysis, and an understanding of the desired economic outcomes. These outcomes may be achieved through a variety of intervention points and partnerships, not only through direct intervention.</w:t>
            </w:r>
          </w:p>
          <w:p w14:paraId="7DFD80A3" w14:textId="77777777" w:rsidR="003A2C62" w:rsidRPr="002A39CD" w:rsidRDefault="003A2C62" w:rsidP="003A2C62">
            <w:pPr>
              <w:spacing w:before="120" w:line="264" w:lineRule="auto"/>
              <w:rPr>
                <w:bCs w:val="0"/>
                <w:sz w:val="16"/>
                <w:szCs w:val="16"/>
              </w:rPr>
            </w:pPr>
            <w:r w:rsidRPr="002A39CD">
              <w:rPr>
                <w:b/>
                <w:bCs w:val="0"/>
                <w:sz w:val="16"/>
                <w:szCs w:val="16"/>
              </w:rPr>
              <w:t>Analysis Standards</w:t>
            </w:r>
          </w:p>
        </w:tc>
        <w:tc>
          <w:tcPr>
            <w:tcW w:w="1134" w:type="dxa"/>
            <w:vMerge w:val="restart"/>
            <w:tcBorders>
              <w:top w:val="nil"/>
              <w:left w:val="single" w:sz="4" w:space="0" w:color="579305" w:themeColor="accent1"/>
              <w:right w:val="nil"/>
            </w:tcBorders>
            <w:vAlign w:val="center"/>
          </w:tcPr>
          <w:p w14:paraId="013CEC5F" w14:textId="6F7C1355" w:rsidR="003A2C62" w:rsidRPr="002A39CD" w:rsidRDefault="006C0D83" w:rsidP="006C0D83">
            <w:pPr>
              <w:spacing w:before="40" w:after="40"/>
              <w:jc w:val="center"/>
              <w:rPr>
                <w:b/>
                <w:i/>
                <w:sz w:val="16"/>
                <w:szCs w:val="16"/>
                <w:lang w:eastAsia="fr-FR"/>
              </w:rPr>
            </w:pPr>
            <w:r>
              <w:rPr>
                <w:noProof/>
                <w:lang w:eastAsia="en-GB"/>
              </w:rPr>
              <w:drawing>
                <wp:inline distT="0" distB="0" distL="0" distR="0" wp14:anchorId="05FE9A32" wp14:editId="136E1C73">
                  <wp:extent cx="502920" cy="719328"/>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S-cover.png"/>
                          <pic:cNvPicPr/>
                        </pic:nvPicPr>
                        <pic:blipFill>
                          <a:blip r:embed="rId19">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r>
      <w:tr w:rsidR="003A2C62" w:rsidRPr="002A39CD" w14:paraId="385092EF" w14:textId="77777777" w:rsidTr="006C0D83">
        <w:trPr>
          <w:trHeight w:val="184"/>
          <w:jc w:val="center"/>
        </w:trPr>
        <w:tc>
          <w:tcPr>
            <w:tcW w:w="1134" w:type="dxa"/>
            <w:tcBorders>
              <w:top w:val="nil"/>
              <w:left w:val="nil"/>
              <w:bottom w:val="nil"/>
              <w:right w:val="single" w:sz="4" w:space="0" w:color="579305" w:themeColor="accent1"/>
            </w:tcBorders>
            <w:vAlign w:val="center"/>
          </w:tcPr>
          <w:p w14:paraId="7BF10A49" w14:textId="4DB71DBA" w:rsidR="003A2C62" w:rsidRPr="002A39CD" w:rsidRDefault="006C0D83" w:rsidP="006C0D83">
            <w:pPr>
              <w:spacing w:before="40" w:after="40"/>
              <w:jc w:val="center"/>
              <w:rPr>
                <w:noProof/>
                <w:sz w:val="16"/>
                <w:szCs w:val="16"/>
              </w:rPr>
            </w:pPr>
            <w:r>
              <w:rPr>
                <w:noProof/>
                <w:lang w:eastAsia="en-GB"/>
              </w:rPr>
              <w:drawing>
                <wp:inline distT="0" distB="0" distL="0" distR="0" wp14:anchorId="04FC597E" wp14:editId="6001DFFB">
                  <wp:extent cx="512064" cy="71932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0">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F3F4ED3" w14:textId="77777777" w:rsidR="00D12A1D" w:rsidRDefault="00D12A1D" w:rsidP="00D12A1D">
            <w:pPr>
              <w:autoSpaceDE w:val="0"/>
              <w:autoSpaceDN w:val="0"/>
              <w:adjustRightInd w:val="0"/>
              <w:spacing w:before="0" w:line="240" w:lineRule="auto"/>
              <w:rPr>
                <w:b/>
                <w:bCs w:val="0"/>
                <w:sz w:val="16"/>
                <w:szCs w:val="16"/>
              </w:rPr>
            </w:pPr>
          </w:p>
          <w:p w14:paraId="3ABFEFAF" w14:textId="6553EE2E" w:rsidR="003A2C62" w:rsidRDefault="003A2C62" w:rsidP="00D12A1D">
            <w:pPr>
              <w:autoSpaceDE w:val="0"/>
              <w:autoSpaceDN w:val="0"/>
              <w:adjustRightInd w:val="0"/>
              <w:spacing w:before="0" w:line="240" w:lineRule="auto"/>
              <w:rPr>
                <w:bCs w:val="0"/>
                <w:sz w:val="16"/>
                <w:szCs w:val="16"/>
              </w:rPr>
            </w:pPr>
            <w:r w:rsidRPr="002A39CD">
              <w:rPr>
                <w:b/>
                <w:bCs w:val="0"/>
                <w:sz w:val="16"/>
                <w:szCs w:val="16"/>
              </w:rPr>
              <w:t>Co</w:t>
            </w:r>
            <w:r w:rsidR="00E55990">
              <w:rPr>
                <w:b/>
                <w:bCs w:val="0"/>
                <w:sz w:val="16"/>
                <w:szCs w:val="16"/>
              </w:rPr>
              <w:t>re</w:t>
            </w:r>
            <w:r w:rsidRPr="002A39CD">
              <w:rPr>
                <w:b/>
                <w:bCs w:val="0"/>
                <w:sz w:val="16"/>
                <w:szCs w:val="16"/>
              </w:rPr>
              <w:t xml:space="preserve"> </w:t>
            </w:r>
            <w:r w:rsidR="00E55990">
              <w:rPr>
                <w:b/>
                <w:bCs w:val="0"/>
                <w:sz w:val="16"/>
                <w:szCs w:val="16"/>
              </w:rPr>
              <w:t>Standard 4</w:t>
            </w:r>
            <w:r w:rsidRPr="002A39CD">
              <w:rPr>
                <w:b/>
                <w:bCs w:val="0"/>
                <w:sz w:val="16"/>
                <w:szCs w:val="16"/>
              </w:rPr>
              <w:t>:</w:t>
            </w:r>
            <w:r w:rsidRPr="002A39CD">
              <w:rPr>
                <w:bCs w:val="0"/>
                <w:sz w:val="16"/>
                <w:szCs w:val="16"/>
              </w:rPr>
              <w:t xml:space="preserve"> </w:t>
            </w:r>
            <w:r w:rsidRPr="002A39CD">
              <w:rPr>
                <w:b/>
                <w:bCs w:val="0"/>
                <w:sz w:val="16"/>
                <w:szCs w:val="16"/>
              </w:rPr>
              <w:t>Initial assessment</w:t>
            </w:r>
            <w:r w:rsidR="00E55990">
              <w:rPr>
                <w:b/>
                <w:bCs w:val="0"/>
                <w:sz w:val="16"/>
                <w:szCs w:val="16"/>
              </w:rPr>
              <w:t xml:space="preserve"> and </w:t>
            </w:r>
            <w:r w:rsidR="00D005C5">
              <w:rPr>
                <w:b/>
                <w:bCs w:val="0"/>
                <w:sz w:val="16"/>
                <w:szCs w:val="16"/>
              </w:rPr>
              <w:t>response identification</w:t>
            </w:r>
            <w:r w:rsidRPr="002A39CD">
              <w:rPr>
                <w:b/>
                <w:bCs w:val="0"/>
                <w:sz w:val="16"/>
                <w:szCs w:val="16"/>
              </w:rPr>
              <w:br/>
            </w:r>
            <w:r w:rsidR="00D12A1D">
              <w:rPr>
                <w:bCs w:val="0"/>
                <w:sz w:val="16"/>
                <w:szCs w:val="16"/>
              </w:rPr>
              <w:t>Initial a</w:t>
            </w:r>
            <w:r w:rsidRPr="002A39CD">
              <w:rPr>
                <w:bCs w:val="0"/>
                <w:sz w:val="16"/>
                <w:szCs w:val="16"/>
              </w:rPr>
              <w:t xml:space="preserve">ssessment provides an understanding of the role of livestock in </w:t>
            </w:r>
            <w:r w:rsidR="00D12A1D" w:rsidRPr="00D12A1D">
              <w:rPr>
                <w:bCs w:val="0"/>
                <w:sz w:val="16"/>
                <w:szCs w:val="16"/>
              </w:rPr>
              <w:t>livelihoods, an analysis of the nature and extent of the emergency, and an</w:t>
            </w:r>
            <w:r w:rsidR="00D12A1D">
              <w:rPr>
                <w:bCs w:val="0"/>
                <w:sz w:val="16"/>
                <w:szCs w:val="16"/>
              </w:rPr>
              <w:t xml:space="preserve"> </w:t>
            </w:r>
            <w:r w:rsidR="00D12A1D" w:rsidRPr="00D12A1D">
              <w:rPr>
                <w:bCs w:val="0"/>
                <w:sz w:val="16"/>
                <w:szCs w:val="16"/>
              </w:rPr>
              <w:t>appraisal of the operational and policy context. It also feeds into a participatory</w:t>
            </w:r>
            <w:r w:rsidR="00D12A1D">
              <w:rPr>
                <w:bCs w:val="0"/>
                <w:sz w:val="16"/>
                <w:szCs w:val="16"/>
              </w:rPr>
              <w:t xml:space="preserve"> </w:t>
            </w:r>
            <w:r w:rsidR="00D12A1D" w:rsidRPr="00D12A1D">
              <w:rPr>
                <w:bCs w:val="0"/>
                <w:sz w:val="16"/>
                <w:szCs w:val="16"/>
              </w:rPr>
              <w:t>process to identify the most appropriate, timely, and feasible interventions.</w:t>
            </w:r>
          </w:p>
          <w:p w14:paraId="6924893E" w14:textId="4B330478" w:rsidR="00D12A1D" w:rsidRPr="002A39CD" w:rsidRDefault="00D12A1D" w:rsidP="00D12A1D">
            <w:pPr>
              <w:autoSpaceDE w:val="0"/>
              <w:autoSpaceDN w:val="0"/>
              <w:adjustRightInd w:val="0"/>
              <w:spacing w:before="0" w:line="240" w:lineRule="auto"/>
              <w:rPr>
                <w:bCs w:val="0"/>
                <w:sz w:val="16"/>
                <w:szCs w:val="16"/>
              </w:rPr>
            </w:pPr>
          </w:p>
        </w:tc>
        <w:tc>
          <w:tcPr>
            <w:tcW w:w="851" w:type="dxa"/>
            <w:vMerge/>
            <w:tcBorders>
              <w:top w:val="nil"/>
              <w:left w:val="single" w:sz="4" w:space="0" w:color="579305" w:themeColor="accent1"/>
              <w:bottom w:val="nil"/>
              <w:right w:val="single" w:sz="4" w:space="0" w:color="579305" w:themeColor="accent1"/>
            </w:tcBorders>
          </w:tcPr>
          <w:p w14:paraId="39B1F55A" w14:textId="77777777" w:rsidR="003A2C62" w:rsidRPr="002A39CD" w:rsidRDefault="003A2C62" w:rsidP="003A2C62">
            <w:pPr>
              <w:ind w:left="113" w:right="113"/>
              <w:jc w:val="center"/>
              <w:rPr>
                <w:rFonts w:ascii="Copperplate Gothic Light" w:hAnsi="Copperplate Gothic Light"/>
                <w:b/>
                <w:bCs w:val="0"/>
                <w:color w:val="1F497D"/>
                <w:sz w:val="40"/>
                <w:szCs w:val="40"/>
                <w:lang w:eastAsia="fr-FR"/>
              </w:rPr>
            </w:pPr>
          </w:p>
        </w:tc>
        <w:tc>
          <w:tcPr>
            <w:tcW w:w="4466" w:type="dxa"/>
            <w:vMerge/>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B1E51C3" w14:textId="77777777" w:rsidR="003A2C62" w:rsidRPr="002A39CD" w:rsidRDefault="003A2C62" w:rsidP="003A2C62">
            <w:pPr>
              <w:spacing w:before="120" w:line="264" w:lineRule="auto"/>
              <w:rPr>
                <w:b/>
                <w:bCs w:val="0"/>
                <w:sz w:val="16"/>
                <w:szCs w:val="16"/>
              </w:rPr>
            </w:pPr>
          </w:p>
        </w:tc>
        <w:tc>
          <w:tcPr>
            <w:tcW w:w="1134" w:type="dxa"/>
            <w:vMerge/>
            <w:tcBorders>
              <w:left w:val="single" w:sz="4" w:space="0" w:color="579305" w:themeColor="accent1"/>
              <w:bottom w:val="nil"/>
              <w:right w:val="nil"/>
            </w:tcBorders>
            <w:vAlign w:val="center"/>
          </w:tcPr>
          <w:p w14:paraId="55339E66" w14:textId="77777777" w:rsidR="003A2C62" w:rsidRPr="002A39CD" w:rsidRDefault="003A2C62" w:rsidP="006C0D83">
            <w:pPr>
              <w:spacing w:before="40" w:after="40"/>
              <w:jc w:val="center"/>
              <w:rPr>
                <w:b/>
                <w:i/>
                <w:sz w:val="16"/>
                <w:szCs w:val="16"/>
                <w:lang w:eastAsia="fr-FR"/>
              </w:rPr>
            </w:pPr>
          </w:p>
        </w:tc>
      </w:tr>
    </w:tbl>
    <w:p w14:paraId="0621B98A" w14:textId="618F2AB2" w:rsidR="003A2C62" w:rsidRDefault="003A2C62" w:rsidP="003A2C62">
      <w:pPr>
        <w:spacing w:after="200" w:line="276" w:lineRule="auto"/>
        <w:jc w:val="center"/>
        <w:rPr>
          <w:noProof/>
          <w:sz w:val="16"/>
          <w:szCs w:val="16"/>
        </w:rPr>
      </w:pPr>
    </w:p>
    <w:p w14:paraId="68D35CE5" w14:textId="177A6730" w:rsidR="003A2C62" w:rsidRDefault="003A2C62" w:rsidP="003A2C62">
      <w:r w:rsidRPr="003A2C62">
        <w:br w:type="page"/>
      </w:r>
    </w:p>
    <w:p w14:paraId="42757195" w14:textId="77777777" w:rsidR="00B61632" w:rsidRPr="003A2C62" w:rsidRDefault="00B61632" w:rsidP="003A2C62"/>
    <w:tbl>
      <w:tblPr>
        <w:tblStyle w:val="Grilledutableau1"/>
        <w:tblW w:w="14742" w:type="dxa"/>
        <w:jc w:val="center"/>
        <w:tblLayout w:type="fixed"/>
        <w:tblLook w:val="04A0" w:firstRow="1" w:lastRow="0" w:firstColumn="1" w:lastColumn="0" w:noHBand="0" w:noVBand="1"/>
      </w:tblPr>
      <w:tblGrid>
        <w:gridCol w:w="1315"/>
        <w:gridCol w:w="5424"/>
        <w:gridCol w:w="688"/>
        <w:gridCol w:w="6000"/>
        <w:gridCol w:w="1315"/>
      </w:tblGrid>
      <w:tr w:rsidR="003A2C62" w:rsidRPr="002A39CD" w14:paraId="3C7EA25A" w14:textId="77777777" w:rsidTr="006C0D83">
        <w:trPr>
          <w:trHeight w:val="274"/>
          <w:jc w:val="center"/>
        </w:trPr>
        <w:tc>
          <w:tcPr>
            <w:tcW w:w="1134" w:type="dxa"/>
            <w:tcBorders>
              <w:top w:val="nil"/>
              <w:left w:val="nil"/>
              <w:bottom w:val="nil"/>
              <w:right w:val="single" w:sz="4" w:space="0" w:color="579305" w:themeColor="accent1"/>
            </w:tcBorders>
            <w:vAlign w:val="center"/>
          </w:tcPr>
          <w:p w14:paraId="56D78706" w14:textId="77777777" w:rsidR="003A2C62" w:rsidRPr="002A39CD" w:rsidRDefault="003A2C62" w:rsidP="006C0D83">
            <w:pPr>
              <w:spacing w:before="40" w:after="40" w:line="240" w:lineRule="auto"/>
              <w:jc w:val="center"/>
              <w:rPr>
                <w:noProof/>
                <w:sz w:val="16"/>
                <w:szCs w:val="16"/>
              </w:rPr>
            </w:pP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2563CB3F" w14:textId="77777777" w:rsidR="003A2C62" w:rsidRPr="002A39CD" w:rsidRDefault="003A2C62" w:rsidP="006C0D83">
            <w:pPr>
              <w:pStyle w:val="tableheading"/>
              <w:spacing w:before="40" w:after="40" w:line="240" w:lineRule="auto"/>
              <w:jc w:val="center"/>
            </w:pPr>
            <w:r w:rsidRPr="002A39CD">
              <w:t>Design &amp; Implementation</w:t>
            </w:r>
          </w:p>
        </w:tc>
        <w:tc>
          <w:tcPr>
            <w:tcW w:w="593" w:type="dxa"/>
            <w:vMerge w:val="restart"/>
            <w:tcBorders>
              <w:top w:val="nil"/>
              <w:left w:val="single" w:sz="4" w:space="0" w:color="579305" w:themeColor="accent1"/>
              <w:right w:val="single" w:sz="4" w:space="0" w:color="579305" w:themeColor="accent1"/>
            </w:tcBorders>
            <w:vAlign w:val="center"/>
          </w:tcPr>
          <w:p w14:paraId="0078F01B" w14:textId="0DBD6F89" w:rsidR="003A2C62" w:rsidRPr="002A39CD" w:rsidRDefault="003A2C62" w:rsidP="006C0D83">
            <w:pPr>
              <w:spacing w:before="40" w:after="40" w:line="240" w:lineRule="auto"/>
              <w:jc w:val="center"/>
              <w:rPr>
                <w:rFonts w:ascii="Copperplate Gothic Light" w:hAnsi="Copperplate Gothic Light"/>
                <w:b/>
                <w:bCs w:val="0"/>
                <w:color w:val="1F497D"/>
                <w:sz w:val="14"/>
                <w:szCs w:val="14"/>
                <w:lang w:eastAsia="fr-FR"/>
              </w:rPr>
            </w:pPr>
            <w:r>
              <w:rPr>
                <w:rFonts w:ascii="Copperplate Gothic Light" w:hAnsi="Copperplate Gothic Light"/>
                <w:b/>
                <w:bCs w:val="0"/>
                <w:color w:val="1F497D"/>
                <w:sz w:val="40"/>
                <w:szCs w:val="40"/>
                <w:lang w:eastAsia="fr-FR"/>
              </w:rPr>
              <w:t>PC</w:t>
            </w:r>
            <w:r w:rsidR="00B10FD5">
              <w:rPr>
                <w:rFonts w:ascii="Copperplate Gothic Light" w:hAnsi="Copperplate Gothic Light"/>
                <w:b/>
                <w:bCs w:val="0"/>
                <w:color w:val="1F497D"/>
                <w:sz w:val="40"/>
                <w:szCs w:val="40"/>
                <w:lang w:eastAsia="fr-FR"/>
              </w:rPr>
              <w:t>M</w:t>
            </w: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3A9FE279" w14:textId="77777777" w:rsidR="003A2C62" w:rsidRPr="002A39CD" w:rsidRDefault="003A2C62" w:rsidP="006C0D83">
            <w:pPr>
              <w:pStyle w:val="tableheading"/>
              <w:spacing w:before="40" w:after="40" w:line="240" w:lineRule="auto"/>
              <w:jc w:val="center"/>
            </w:pPr>
            <w:r w:rsidRPr="002A39CD">
              <w:t>Monitoring &amp; Evaluation</w:t>
            </w:r>
          </w:p>
        </w:tc>
        <w:tc>
          <w:tcPr>
            <w:tcW w:w="1134" w:type="dxa"/>
            <w:tcBorders>
              <w:top w:val="nil"/>
              <w:left w:val="single" w:sz="4" w:space="0" w:color="579305" w:themeColor="accent1"/>
              <w:bottom w:val="nil"/>
              <w:right w:val="nil"/>
            </w:tcBorders>
            <w:vAlign w:val="center"/>
          </w:tcPr>
          <w:p w14:paraId="22C00B4F" w14:textId="77777777" w:rsidR="003A2C62" w:rsidRPr="002A39CD" w:rsidRDefault="003A2C62" w:rsidP="006C0D83">
            <w:pPr>
              <w:spacing w:before="40" w:after="40" w:line="240" w:lineRule="auto"/>
              <w:jc w:val="center"/>
              <w:rPr>
                <w:noProof/>
                <w:sz w:val="16"/>
                <w:szCs w:val="16"/>
              </w:rPr>
            </w:pPr>
          </w:p>
        </w:tc>
      </w:tr>
      <w:tr w:rsidR="003A2C62" w:rsidRPr="002A39CD" w14:paraId="0F40318A" w14:textId="77777777" w:rsidTr="006C0D83">
        <w:trPr>
          <w:jc w:val="center"/>
        </w:trPr>
        <w:tc>
          <w:tcPr>
            <w:tcW w:w="1134" w:type="dxa"/>
            <w:tcBorders>
              <w:top w:val="nil"/>
              <w:left w:val="nil"/>
              <w:bottom w:val="nil"/>
              <w:right w:val="single" w:sz="4" w:space="0" w:color="579305" w:themeColor="accent1"/>
            </w:tcBorders>
            <w:vAlign w:val="center"/>
          </w:tcPr>
          <w:p w14:paraId="61272990" w14:textId="77777777" w:rsidR="003A2C62" w:rsidRPr="002A39CD" w:rsidRDefault="003A2C62" w:rsidP="006C0D83">
            <w:pPr>
              <w:spacing w:before="40" w:after="40" w:line="240" w:lineRule="auto"/>
              <w:jc w:val="center"/>
              <w:rPr>
                <w:noProof/>
                <w:sz w:val="16"/>
                <w:szCs w:val="16"/>
              </w:rPr>
            </w:pP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6727578" w14:textId="77777777" w:rsidR="003A2C62" w:rsidRPr="002A39CD" w:rsidRDefault="003A2C62" w:rsidP="006C0D83">
            <w:pPr>
              <w:spacing w:before="40" w:after="40" w:line="240" w:lineRule="auto"/>
              <w:jc w:val="center"/>
              <w:rPr>
                <w:b/>
                <w:bCs w:val="0"/>
                <w:i/>
                <w:color w:val="548DD4"/>
                <w:sz w:val="16"/>
                <w:szCs w:val="16"/>
              </w:rPr>
            </w:pPr>
            <w:r w:rsidRPr="002A39CD">
              <w:rPr>
                <w:b/>
                <w:bCs w:val="0"/>
                <w:i/>
                <w:color w:val="548DD4"/>
                <w:sz w:val="16"/>
                <w:szCs w:val="16"/>
              </w:rPr>
              <w:t>Is your project meeting the pre-identified needs?</w:t>
            </w:r>
            <w:r w:rsidRPr="002A39CD">
              <w:rPr>
                <w:b/>
                <w:bCs w:val="0"/>
                <w:i/>
                <w:color w:val="548DD4"/>
                <w:sz w:val="16"/>
                <w:szCs w:val="16"/>
              </w:rPr>
              <w:br/>
              <w:t xml:space="preserve">Are you constantly observing the balance </w:t>
            </w:r>
            <w:r w:rsidRPr="002A39CD">
              <w:rPr>
                <w:b/>
                <w:bCs w:val="0"/>
                <w:i/>
                <w:color w:val="548DD4"/>
                <w:sz w:val="16"/>
                <w:szCs w:val="16"/>
              </w:rPr>
              <w:br/>
              <w:t>between assistance and protection?</w:t>
            </w:r>
          </w:p>
        </w:tc>
        <w:tc>
          <w:tcPr>
            <w:tcW w:w="593" w:type="dxa"/>
            <w:vMerge/>
            <w:tcBorders>
              <w:left w:val="single" w:sz="4" w:space="0" w:color="579305" w:themeColor="accent1"/>
              <w:right w:val="single" w:sz="4" w:space="0" w:color="579305" w:themeColor="accent1"/>
            </w:tcBorders>
            <w:vAlign w:val="center"/>
          </w:tcPr>
          <w:p w14:paraId="6011559B" w14:textId="77777777" w:rsidR="003A2C62" w:rsidRPr="002A39CD" w:rsidRDefault="003A2C62" w:rsidP="006C0D83">
            <w:pPr>
              <w:spacing w:before="40" w:after="40" w:line="240" w:lineRule="auto"/>
              <w:jc w:val="center"/>
              <w:rPr>
                <w:noProof/>
                <w:sz w:val="16"/>
                <w:szCs w:val="16"/>
              </w:rPr>
            </w:pP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40E136C" w14:textId="77777777" w:rsidR="003A2C62" w:rsidRPr="002A39CD" w:rsidRDefault="003A2C62" w:rsidP="006C0D83">
            <w:pPr>
              <w:spacing w:before="40" w:after="40" w:line="240" w:lineRule="auto"/>
              <w:jc w:val="center"/>
              <w:rPr>
                <w:b/>
                <w:bCs w:val="0"/>
                <w:i/>
                <w:color w:val="548DD4"/>
                <w:sz w:val="16"/>
                <w:szCs w:val="16"/>
              </w:rPr>
            </w:pPr>
            <w:r w:rsidRPr="002A39CD">
              <w:rPr>
                <w:b/>
                <w:bCs w:val="0"/>
                <w:i/>
                <w:color w:val="548DD4"/>
                <w:sz w:val="16"/>
                <w:szCs w:val="16"/>
              </w:rPr>
              <w:t xml:space="preserve">Is a proper and transparent M&amp;E system in place </w:t>
            </w:r>
            <w:r w:rsidRPr="002A39CD">
              <w:rPr>
                <w:b/>
                <w:bCs w:val="0"/>
                <w:i/>
                <w:color w:val="548DD4"/>
                <w:sz w:val="16"/>
                <w:szCs w:val="16"/>
              </w:rPr>
              <w:br/>
              <w:t>with appropriate resources to ensure a quality follow-up</w:t>
            </w:r>
            <w:r w:rsidRPr="002A39CD">
              <w:rPr>
                <w:b/>
                <w:bCs w:val="0"/>
                <w:i/>
                <w:color w:val="548DD4"/>
                <w:sz w:val="16"/>
                <w:szCs w:val="16"/>
              </w:rPr>
              <w:br/>
              <w:t>as well as potential adjustments of your project?</w:t>
            </w:r>
          </w:p>
        </w:tc>
        <w:tc>
          <w:tcPr>
            <w:tcW w:w="1134" w:type="dxa"/>
            <w:tcBorders>
              <w:top w:val="nil"/>
              <w:left w:val="single" w:sz="4" w:space="0" w:color="579305" w:themeColor="accent1"/>
              <w:bottom w:val="nil"/>
              <w:right w:val="nil"/>
            </w:tcBorders>
            <w:vAlign w:val="center"/>
          </w:tcPr>
          <w:p w14:paraId="7B0BD03A" w14:textId="77777777" w:rsidR="003A2C62" w:rsidRPr="002A39CD" w:rsidRDefault="003A2C62" w:rsidP="006C0D83">
            <w:pPr>
              <w:spacing w:before="40" w:after="40" w:line="240" w:lineRule="auto"/>
              <w:jc w:val="center"/>
              <w:rPr>
                <w:b/>
                <w:i/>
                <w:sz w:val="16"/>
                <w:szCs w:val="16"/>
                <w:lang w:eastAsia="fr-FR"/>
              </w:rPr>
            </w:pPr>
          </w:p>
        </w:tc>
      </w:tr>
      <w:tr w:rsidR="003A2C62" w:rsidRPr="002A39CD" w14:paraId="2F930874" w14:textId="77777777" w:rsidTr="006C0D83">
        <w:trPr>
          <w:trHeight w:val="1121"/>
          <w:jc w:val="center"/>
        </w:trPr>
        <w:tc>
          <w:tcPr>
            <w:tcW w:w="1134" w:type="dxa"/>
            <w:tcBorders>
              <w:top w:val="nil"/>
              <w:left w:val="nil"/>
              <w:bottom w:val="nil"/>
              <w:right w:val="single" w:sz="4" w:space="0" w:color="579305" w:themeColor="accent1"/>
            </w:tcBorders>
            <w:vAlign w:val="center"/>
          </w:tcPr>
          <w:p w14:paraId="2CB94756" w14:textId="286FDD58" w:rsidR="003A2C62" w:rsidRPr="002A39CD" w:rsidRDefault="006C0D83" w:rsidP="006C0D83">
            <w:pPr>
              <w:spacing w:before="40" w:after="40" w:line="240" w:lineRule="auto"/>
              <w:jc w:val="center"/>
              <w:rPr>
                <w:b/>
                <w:i/>
                <w:sz w:val="16"/>
                <w:szCs w:val="16"/>
                <w:highlight w:val="yellow"/>
                <w:lang w:eastAsia="fr-FR"/>
              </w:rPr>
            </w:pPr>
            <w:r>
              <w:rPr>
                <w:noProof/>
                <w:lang w:eastAsia="en-GB"/>
              </w:rPr>
              <w:drawing>
                <wp:inline distT="0" distB="0" distL="0" distR="0" wp14:anchorId="668B4FCF" wp14:editId="0981A60C">
                  <wp:extent cx="502920" cy="719328"/>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1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5E0BD23" w14:textId="77777777" w:rsidR="000047A2" w:rsidRDefault="000047A2" w:rsidP="000047A2">
            <w:pPr>
              <w:kinsoku w:val="0"/>
              <w:overflowPunct w:val="0"/>
              <w:spacing w:before="40" w:after="40" w:line="240" w:lineRule="auto"/>
              <w:contextualSpacing/>
              <w:textAlignment w:val="baseline"/>
              <w:rPr>
                <w:bCs w:val="0"/>
                <w:sz w:val="16"/>
                <w:szCs w:val="16"/>
              </w:rPr>
            </w:pPr>
            <w:r>
              <w:rPr>
                <w:b/>
                <w:bCs w:val="0"/>
                <w:sz w:val="16"/>
                <w:szCs w:val="16"/>
              </w:rPr>
              <w:t xml:space="preserve">CHS Commitment 2:  </w:t>
            </w:r>
            <w:r w:rsidRPr="009272B9">
              <w:rPr>
                <w:bCs w:val="0"/>
                <w:sz w:val="16"/>
                <w:szCs w:val="16"/>
              </w:rPr>
              <w:t>Communities and people affected by crisis have access to humanitarian assistance they need at the right time</w:t>
            </w:r>
          </w:p>
          <w:p w14:paraId="59C4D2C9" w14:textId="77777777" w:rsidR="000047A2" w:rsidRDefault="000047A2" w:rsidP="000047A2">
            <w:pPr>
              <w:kinsoku w:val="0"/>
              <w:overflowPunct w:val="0"/>
              <w:spacing w:before="40" w:after="40" w:line="240" w:lineRule="auto"/>
              <w:contextualSpacing/>
              <w:textAlignment w:val="baseline"/>
              <w:rPr>
                <w:bCs w:val="0"/>
                <w:sz w:val="16"/>
                <w:szCs w:val="16"/>
              </w:rPr>
            </w:pPr>
          </w:p>
          <w:p w14:paraId="6ED75883" w14:textId="77777777" w:rsidR="000047A2" w:rsidRDefault="000047A2" w:rsidP="000047A2">
            <w:pPr>
              <w:kinsoku w:val="0"/>
              <w:overflowPunct w:val="0"/>
              <w:spacing w:before="40" w:after="40" w:line="240" w:lineRule="auto"/>
              <w:contextualSpacing/>
              <w:textAlignment w:val="baseline"/>
              <w:rPr>
                <w:bCs w:val="0"/>
                <w:sz w:val="16"/>
                <w:szCs w:val="16"/>
              </w:rPr>
            </w:pPr>
            <w:r w:rsidRPr="009272B9">
              <w:rPr>
                <w:b/>
                <w:bCs w:val="0"/>
                <w:sz w:val="16"/>
                <w:szCs w:val="16"/>
              </w:rPr>
              <w:t>CHS Commitment 3</w:t>
            </w:r>
            <w:r>
              <w:rPr>
                <w:bCs w:val="0"/>
                <w:sz w:val="16"/>
                <w:szCs w:val="16"/>
              </w:rPr>
              <w:t>: Communities and people affected by crisis are not negatively affected and are more prepared, resilient and less at-risk as a result of humanitarian action.</w:t>
            </w:r>
          </w:p>
          <w:p w14:paraId="566B7E38" w14:textId="77777777" w:rsidR="000047A2" w:rsidRDefault="000047A2" w:rsidP="000047A2">
            <w:pPr>
              <w:kinsoku w:val="0"/>
              <w:overflowPunct w:val="0"/>
              <w:spacing w:before="40" w:after="40" w:line="240" w:lineRule="auto"/>
              <w:contextualSpacing/>
              <w:textAlignment w:val="baseline"/>
              <w:rPr>
                <w:bCs w:val="0"/>
                <w:sz w:val="16"/>
                <w:szCs w:val="16"/>
              </w:rPr>
            </w:pPr>
          </w:p>
          <w:p w14:paraId="069899DC" w14:textId="77777777" w:rsidR="003A2C62" w:rsidRDefault="000047A2" w:rsidP="000047A2">
            <w:pPr>
              <w:kinsoku w:val="0"/>
              <w:overflowPunct w:val="0"/>
              <w:spacing w:before="40" w:after="40" w:line="240" w:lineRule="auto"/>
              <w:contextualSpacing/>
              <w:textAlignment w:val="baseline"/>
              <w:rPr>
                <w:bCs w:val="0"/>
                <w:sz w:val="16"/>
                <w:szCs w:val="16"/>
              </w:rPr>
            </w:pPr>
            <w:r w:rsidRPr="009272B9">
              <w:rPr>
                <w:b/>
                <w:bCs w:val="0"/>
                <w:sz w:val="16"/>
                <w:szCs w:val="16"/>
              </w:rPr>
              <w:t>CHS Commitment 4:</w:t>
            </w:r>
            <w:r>
              <w:rPr>
                <w:bCs w:val="0"/>
                <w:sz w:val="16"/>
                <w:szCs w:val="16"/>
              </w:rPr>
              <w:t xml:space="preserve"> Communities and people affected by crisis know their rights,</w:t>
            </w:r>
            <w:r>
              <w:t xml:space="preserve"> </w:t>
            </w:r>
            <w:r w:rsidRPr="009272B9">
              <w:rPr>
                <w:bCs w:val="0"/>
                <w:sz w:val="16"/>
                <w:szCs w:val="16"/>
              </w:rPr>
              <w:t>entitlements, have access to information and participate in decisions that affect them.</w:t>
            </w:r>
          </w:p>
          <w:p w14:paraId="27533A41" w14:textId="77777777" w:rsidR="000047A2" w:rsidRDefault="000047A2" w:rsidP="000047A2">
            <w:pPr>
              <w:kinsoku w:val="0"/>
              <w:overflowPunct w:val="0"/>
              <w:spacing w:before="40" w:after="40" w:line="240" w:lineRule="auto"/>
              <w:contextualSpacing/>
              <w:textAlignment w:val="baseline"/>
              <w:rPr>
                <w:bCs w:val="0"/>
                <w:sz w:val="16"/>
                <w:szCs w:val="16"/>
              </w:rPr>
            </w:pPr>
          </w:p>
          <w:p w14:paraId="3EEEA555" w14:textId="77777777" w:rsidR="000047A2" w:rsidRPr="000047A2" w:rsidRDefault="000047A2" w:rsidP="000047A2">
            <w:pPr>
              <w:spacing w:before="120" w:line="264" w:lineRule="auto"/>
              <w:rPr>
                <w:i/>
                <w:iCs/>
                <w:color w:val="000000"/>
                <w:kern w:val="24"/>
                <w:sz w:val="14"/>
                <w:szCs w:val="14"/>
                <w:lang w:eastAsia="fr-FR"/>
              </w:rPr>
            </w:pPr>
            <w:r w:rsidRPr="000047A2">
              <w:rPr>
                <w:bCs w:val="0"/>
                <w:i/>
                <w:iCs/>
                <w:sz w:val="16"/>
                <w:szCs w:val="16"/>
              </w:rPr>
              <w:t>(The Core Humanitarian Standard replaces Sphere Core Standards Chapter).</w:t>
            </w:r>
          </w:p>
          <w:p w14:paraId="23CBD147" w14:textId="74D60215" w:rsidR="000047A2" w:rsidRPr="002A39CD" w:rsidRDefault="000047A2" w:rsidP="000047A2">
            <w:pPr>
              <w:kinsoku w:val="0"/>
              <w:overflowPunct w:val="0"/>
              <w:spacing w:before="40" w:after="40" w:line="240" w:lineRule="auto"/>
              <w:contextualSpacing/>
              <w:textAlignment w:val="baseline"/>
              <w:rPr>
                <w:color w:val="000000"/>
                <w:kern w:val="24"/>
                <w:sz w:val="14"/>
                <w:szCs w:val="14"/>
                <w:lang w:eastAsia="fr-FR"/>
              </w:rPr>
            </w:pPr>
          </w:p>
        </w:tc>
        <w:tc>
          <w:tcPr>
            <w:tcW w:w="593" w:type="dxa"/>
            <w:vMerge/>
            <w:tcBorders>
              <w:left w:val="single" w:sz="4" w:space="0" w:color="579305" w:themeColor="accent1"/>
              <w:right w:val="single" w:sz="4" w:space="0" w:color="579305" w:themeColor="accent1"/>
            </w:tcBorders>
            <w:vAlign w:val="center"/>
          </w:tcPr>
          <w:p w14:paraId="5D28678F" w14:textId="77777777" w:rsidR="003A2C62" w:rsidRPr="002A39CD" w:rsidRDefault="003A2C62" w:rsidP="006C0D83">
            <w:pPr>
              <w:spacing w:before="40" w:after="40" w:line="240" w:lineRule="auto"/>
              <w:jc w:val="center"/>
              <w:rPr>
                <w:b/>
                <w:i/>
                <w:sz w:val="16"/>
                <w:szCs w:val="16"/>
                <w:highlight w:val="yellow"/>
                <w:lang w:eastAsia="fr-FR"/>
              </w:rPr>
            </w:pP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2F874B40" w14:textId="77777777" w:rsidR="000047A2" w:rsidRDefault="000047A2" w:rsidP="000047A2">
            <w:pPr>
              <w:kinsoku w:val="0"/>
              <w:overflowPunct w:val="0"/>
              <w:spacing w:before="40" w:after="40" w:line="240" w:lineRule="auto"/>
              <w:contextualSpacing/>
              <w:textAlignment w:val="baseline"/>
              <w:rPr>
                <w:bCs w:val="0"/>
                <w:sz w:val="16"/>
                <w:szCs w:val="16"/>
              </w:rPr>
            </w:pPr>
            <w:r>
              <w:rPr>
                <w:b/>
                <w:bCs w:val="0"/>
                <w:sz w:val="16"/>
                <w:szCs w:val="16"/>
              </w:rPr>
              <w:t xml:space="preserve">CHS Commitment 2:  </w:t>
            </w:r>
            <w:r w:rsidRPr="009272B9">
              <w:rPr>
                <w:bCs w:val="0"/>
                <w:sz w:val="16"/>
                <w:szCs w:val="16"/>
              </w:rPr>
              <w:t>Communities and people affected by crisis have access to humanitarian assistance they need at the right time</w:t>
            </w:r>
          </w:p>
          <w:p w14:paraId="745EA239" w14:textId="77777777" w:rsidR="000047A2" w:rsidRDefault="000047A2" w:rsidP="000047A2">
            <w:pPr>
              <w:spacing w:before="40" w:after="40" w:line="240" w:lineRule="auto"/>
              <w:rPr>
                <w:b/>
                <w:sz w:val="16"/>
                <w:szCs w:val="16"/>
              </w:rPr>
            </w:pPr>
          </w:p>
          <w:p w14:paraId="64497FEC" w14:textId="77777777" w:rsidR="003A2C62" w:rsidRDefault="000047A2" w:rsidP="000047A2">
            <w:pPr>
              <w:spacing w:before="40" w:after="40" w:line="240" w:lineRule="auto"/>
              <w:rPr>
                <w:bCs w:val="0"/>
                <w:sz w:val="16"/>
                <w:szCs w:val="16"/>
              </w:rPr>
            </w:pPr>
            <w:r w:rsidRPr="00FF3411">
              <w:rPr>
                <w:b/>
                <w:sz w:val="16"/>
                <w:szCs w:val="16"/>
              </w:rPr>
              <w:t>CHS Commitment 5:</w:t>
            </w:r>
            <w:r>
              <w:rPr>
                <w:bCs w:val="0"/>
                <w:sz w:val="16"/>
                <w:szCs w:val="16"/>
              </w:rPr>
              <w:t xml:space="preserve"> </w:t>
            </w:r>
            <w:r w:rsidRPr="00FF3411">
              <w:rPr>
                <w:bCs w:val="0"/>
                <w:sz w:val="16"/>
                <w:szCs w:val="16"/>
              </w:rPr>
              <w:t>Communities and people affected by crisis have access to safe</w:t>
            </w:r>
            <w:r>
              <w:rPr>
                <w:bCs w:val="0"/>
                <w:sz w:val="16"/>
                <w:szCs w:val="16"/>
              </w:rPr>
              <w:t xml:space="preserve"> </w:t>
            </w:r>
            <w:r w:rsidRPr="00FF3411">
              <w:rPr>
                <w:bCs w:val="0"/>
                <w:sz w:val="16"/>
                <w:szCs w:val="16"/>
              </w:rPr>
              <w:t>and responsive mechanisms to handle complaints</w:t>
            </w:r>
            <w:r>
              <w:rPr>
                <w:bCs w:val="0"/>
                <w:sz w:val="16"/>
                <w:szCs w:val="16"/>
              </w:rPr>
              <w:t>.</w:t>
            </w:r>
          </w:p>
          <w:p w14:paraId="72BD7CF6" w14:textId="77777777" w:rsidR="000047A2" w:rsidRDefault="000047A2" w:rsidP="000047A2">
            <w:pPr>
              <w:spacing w:before="40" w:after="40" w:line="240" w:lineRule="auto"/>
              <w:rPr>
                <w:bCs w:val="0"/>
                <w:sz w:val="16"/>
                <w:szCs w:val="16"/>
              </w:rPr>
            </w:pPr>
          </w:p>
          <w:p w14:paraId="6A6FEFB6" w14:textId="77777777" w:rsidR="000047A2" w:rsidRPr="000047A2" w:rsidRDefault="000047A2" w:rsidP="000047A2">
            <w:pPr>
              <w:spacing w:before="120" w:line="264" w:lineRule="auto"/>
              <w:rPr>
                <w:i/>
                <w:iCs/>
                <w:color w:val="000000"/>
                <w:kern w:val="24"/>
                <w:sz w:val="14"/>
                <w:szCs w:val="14"/>
                <w:lang w:eastAsia="fr-FR"/>
              </w:rPr>
            </w:pPr>
            <w:r w:rsidRPr="000047A2">
              <w:rPr>
                <w:bCs w:val="0"/>
                <w:i/>
                <w:iCs/>
                <w:sz w:val="16"/>
                <w:szCs w:val="16"/>
              </w:rPr>
              <w:t>(The Core Humanitarian Standard replaces Sphere Core Standards Chapter).</w:t>
            </w:r>
          </w:p>
          <w:p w14:paraId="7219BFD3" w14:textId="6D826BF3" w:rsidR="000047A2" w:rsidRPr="002A39CD" w:rsidRDefault="000047A2" w:rsidP="000047A2">
            <w:pPr>
              <w:spacing w:before="40" w:after="40" w:line="240" w:lineRule="auto"/>
              <w:rPr>
                <w:bCs w:val="0"/>
                <w:sz w:val="16"/>
                <w:szCs w:val="16"/>
              </w:rPr>
            </w:pPr>
          </w:p>
        </w:tc>
        <w:tc>
          <w:tcPr>
            <w:tcW w:w="1134" w:type="dxa"/>
            <w:tcBorders>
              <w:top w:val="nil"/>
              <w:left w:val="single" w:sz="4" w:space="0" w:color="579305" w:themeColor="accent1"/>
              <w:bottom w:val="nil"/>
              <w:right w:val="nil"/>
            </w:tcBorders>
            <w:vAlign w:val="center"/>
          </w:tcPr>
          <w:p w14:paraId="60E0EA8D" w14:textId="20480989" w:rsidR="003A2C62" w:rsidRPr="002A39CD" w:rsidRDefault="006C0D83" w:rsidP="006C0D83">
            <w:pPr>
              <w:spacing w:before="40" w:after="40" w:line="240" w:lineRule="auto"/>
              <w:jc w:val="center"/>
              <w:rPr>
                <w:b/>
                <w:i/>
                <w:sz w:val="16"/>
                <w:szCs w:val="16"/>
                <w:highlight w:val="yellow"/>
                <w:lang w:eastAsia="fr-FR"/>
              </w:rPr>
            </w:pPr>
            <w:r>
              <w:rPr>
                <w:noProof/>
                <w:lang w:eastAsia="en-GB"/>
              </w:rPr>
              <w:drawing>
                <wp:inline distT="0" distB="0" distL="0" distR="0" wp14:anchorId="06A28BF0" wp14:editId="24DF2E63">
                  <wp:extent cx="502920" cy="719328"/>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1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r>
      <w:tr w:rsidR="003A2C62" w:rsidRPr="002A39CD" w14:paraId="0C6CD64A" w14:textId="77777777" w:rsidTr="006C0D83">
        <w:trPr>
          <w:trHeight w:val="1421"/>
          <w:jc w:val="center"/>
        </w:trPr>
        <w:tc>
          <w:tcPr>
            <w:tcW w:w="1134" w:type="dxa"/>
            <w:tcBorders>
              <w:top w:val="nil"/>
              <w:left w:val="nil"/>
              <w:bottom w:val="nil"/>
              <w:right w:val="single" w:sz="4" w:space="0" w:color="579305" w:themeColor="accent1"/>
            </w:tcBorders>
            <w:vAlign w:val="center"/>
          </w:tcPr>
          <w:p w14:paraId="36B80CD4" w14:textId="1AA97E8F" w:rsidR="003A2C62" w:rsidRPr="002A39CD" w:rsidRDefault="005A7E9A" w:rsidP="006C0D83">
            <w:pPr>
              <w:spacing w:before="40" w:after="40" w:line="240" w:lineRule="auto"/>
              <w:jc w:val="center"/>
              <w:rPr>
                <w:noProof/>
                <w:sz w:val="16"/>
                <w:szCs w:val="16"/>
                <w:lang w:val="fr-FR" w:eastAsia="fr-FR"/>
              </w:rPr>
            </w:pPr>
            <w:r>
              <w:rPr>
                <w:noProof/>
                <w:lang w:eastAsia="en-GB"/>
              </w:rPr>
              <w:drawing>
                <wp:inline distT="0" distB="0" distL="0" distR="0" wp14:anchorId="7368F090" wp14:editId="1BE1C27F">
                  <wp:extent cx="502920" cy="719328"/>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17">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DD0EDD1" w14:textId="77777777" w:rsidR="003A2C62" w:rsidRPr="002A39CD" w:rsidRDefault="003A2C62" w:rsidP="006C0D83">
            <w:pPr>
              <w:spacing w:before="40" w:after="40" w:line="240" w:lineRule="auto"/>
              <w:rPr>
                <w:bCs w:val="0"/>
                <w:sz w:val="16"/>
                <w:szCs w:val="16"/>
              </w:rPr>
            </w:pPr>
            <w:r w:rsidRPr="002A39CD">
              <w:rPr>
                <w:b/>
                <w:bCs w:val="0"/>
                <w:sz w:val="16"/>
                <w:szCs w:val="16"/>
              </w:rPr>
              <w:t>Standards to ensure a quality response/ Standard 4:</w:t>
            </w:r>
            <w:r w:rsidRPr="002A39CD">
              <w:rPr>
                <w:bCs w:val="0"/>
                <w:sz w:val="16"/>
                <w:szCs w:val="16"/>
              </w:rPr>
              <w:t xml:space="preserve"> </w:t>
            </w:r>
            <w:r w:rsidRPr="002A39CD">
              <w:rPr>
                <w:b/>
                <w:bCs w:val="0"/>
                <w:sz w:val="16"/>
                <w:szCs w:val="16"/>
              </w:rPr>
              <w:t>Programme cycle management</w:t>
            </w:r>
            <w:r w:rsidRPr="002A39CD">
              <w:rPr>
                <w:b/>
                <w:bCs w:val="0"/>
                <w:sz w:val="16"/>
                <w:szCs w:val="16"/>
              </w:rPr>
              <w:br/>
            </w:r>
            <w:r w:rsidRPr="002A39CD">
              <w:rPr>
                <w:bCs w:val="0"/>
                <w:sz w:val="16"/>
                <w:szCs w:val="16"/>
              </w:rPr>
              <w:t>All child protection programmes build on existing capacities, resources and structures and address the evolving child protection risks and needs identified by girls, boys and adults affected by the emergency.</w:t>
            </w:r>
          </w:p>
        </w:tc>
        <w:tc>
          <w:tcPr>
            <w:tcW w:w="593" w:type="dxa"/>
            <w:vMerge/>
            <w:tcBorders>
              <w:left w:val="single" w:sz="4" w:space="0" w:color="579305" w:themeColor="accent1"/>
              <w:right w:val="single" w:sz="4" w:space="0" w:color="579305" w:themeColor="accent1"/>
            </w:tcBorders>
            <w:vAlign w:val="center"/>
          </w:tcPr>
          <w:p w14:paraId="63404BBB" w14:textId="77777777" w:rsidR="003A2C62" w:rsidRPr="002A39CD" w:rsidRDefault="003A2C62" w:rsidP="006C0D83">
            <w:pPr>
              <w:spacing w:before="40" w:after="40" w:line="240" w:lineRule="auto"/>
              <w:jc w:val="center"/>
              <w:rPr>
                <w:b/>
                <w:i/>
                <w:sz w:val="16"/>
                <w:szCs w:val="16"/>
                <w:highlight w:val="yellow"/>
                <w:lang w:eastAsia="fr-FR"/>
              </w:rPr>
            </w:pP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4A638D9" w14:textId="77777777" w:rsidR="003A2C62" w:rsidRPr="002A39CD" w:rsidRDefault="003A2C62" w:rsidP="006C0D83">
            <w:pPr>
              <w:spacing w:before="40" w:after="40" w:line="240" w:lineRule="auto"/>
              <w:rPr>
                <w:b/>
                <w:bCs w:val="0"/>
                <w:sz w:val="16"/>
                <w:szCs w:val="16"/>
              </w:rPr>
            </w:pPr>
            <w:r w:rsidRPr="002A39CD">
              <w:rPr>
                <w:b/>
                <w:bCs w:val="0"/>
                <w:sz w:val="16"/>
                <w:szCs w:val="16"/>
              </w:rPr>
              <w:t>Standards to ensure a quality response/ Standard 6:</w:t>
            </w:r>
            <w:r w:rsidRPr="002A39CD">
              <w:rPr>
                <w:bCs w:val="0"/>
                <w:sz w:val="16"/>
                <w:szCs w:val="16"/>
              </w:rPr>
              <w:t xml:space="preserve"> </w:t>
            </w:r>
            <w:r w:rsidRPr="002A39CD">
              <w:rPr>
                <w:b/>
                <w:bCs w:val="0"/>
                <w:sz w:val="16"/>
                <w:szCs w:val="16"/>
              </w:rPr>
              <w:t>Child protection monitoring:</w:t>
            </w:r>
            <w:r w:rsidRPr="002A39CD">
              <w:rPr>
                <w:b/>
                <w:bCs w:val="0"/>
                <w:sz w:val="16"/>
                <w:szCs w:val="16"/>
              </w:rPr>
              <w:br/>
            </w:r>
            <w:r w:rsidRPr="002A39CD">
              <w:rPr>
                <w:bCs w:val="0"/>
                <w:sz w:val="16"/>
                <w:szCs w:val="16"/>
              </w:rPr>
              <w:t>Objective and timely information on child protection concerns is collected in an ethical manner and systematically triggers or informs prevention and response activities.</w:t>
            </w:r>
          </w:p>
        </w:tc>
        <w:tc>
          <w:tcPr>
            <w:tcW w:w="1134" w:type="dxa"/>
            <w:tcBorders>
              <w:top w:val="nil"/>
              <w:left w:val="single" w:sz="4" w:space="0" w:color="579305" w:themeColor="accent1"/>
              <w:bottom w:val="nil"/>
              <w:right w:val="nil"/>
            </w:tcBorders>
            <w:vAlign w:val="center"/>
          </w:tcPr>
          <w:p w14:paraId="67DFB698" w14:textId="793C2177" w:rsidR="003A2C62" w:rsidRPr="002A39CD" w:rsidRDefault="005A7E9A" w:rsidP="006C0D83">
            <w:pPr>
              <w:spacing w:before="40" w:after="40" w:line="240" w:lineRule="auto"/>
              <w:jc w:val="center"/>
              <w:rPr>
                <w:b/>
                <w:i/>
                <w:noProof/>
                <w:sz w:val="16"/>
                <w:szCs w:val="16"/>
                <w:lang w:eastAsia="fr-FR"/>
              </w:rPr>
            </w:pPr>
            <w:r>
              <w:rPr>
                <w:noProof/>
                <w:lang w:eastAsia="en-GB"/>
              </w:rPr>
              <w:drawing>
                <wp:inline distT="0" distB="0" distL="0" distR="0" wp14:anchorId="12DCBCB5" wp14:editId="39402394">
                  <wp:extent cx="502920" cy="719328"/>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17">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r>
      <w:tr w:rsidR="003A2C62" w:rsidRPr="002A39CD" w14:paraId="414CE0CC" w14:textId="77777777" w:rsidTr="006C0D83">
        <w:trPr>
          <w:trHeight w:val="941"/>
          <w:jc w:val="center"/>
        </w:trPr>
        <w:tc>
          <w:tcPr>
            <w:tcW w:w="1134" w:type="dxa"/>
            <w:tcBorders>
              <w:top w:val="nil"/>
              <w:left w:val="nil"/>
              <w:bottom w:val="nil"/>
              <w:right w:val="single" w:sz="4" w:space="0" w:color="579305" w:themeColor="accent1"/>
            </w:tcBorders>
            <w:vAlign w:val="center"/>
          </w:tcPr>
          <w:p w14:paraId="46658C08" w14:textId="225E0B67" w:rsidR="003A2C62" w:rsidRPr="002A39CD" w:rsidRDefault="006C0D83" w:rsidP="006C0D83">
            <w:pPr>
              <w:spacing w:before="40" w:after="40" w:line="240" w:lineRule="auto"/>
              <w:jc w:val="center"/>
              <w:rPr>
                <w:b/>
                <w:i/>
                <w:sz w:val="16"/>
                <w:szCs w:val="16"/>
                <w:highlight w:val="yellow"/>
                <w:lang w:eastAsia="fr-FR"/>
              </w:rPr>
            </w:pPr>
            <w:r>
              <w:rPr>
                <w:noProof/>
                <w:lang w:eastAsia="en-GB"/>
              </w:rPr>
              <w:drawing>
                <wp:inline distT="0" distB="0" distL="0" distR="0" wp14:anchorId="0CE82066" wp14:editId="402FA273">
                  <wp:extent cx="512064" cy="719328"/>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0">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8741D96" w14:textId="77777777" w:rsidR="00B420B3" w:rsidRDefault="003A2C62" w:rsidP="006C0D83">
            <w:pPr>
              <w:autoSpaceDE w:val="0"/>
              <w:autoSpaceDN w:val="0"/>
              <w:adjustRightInd w:val="0"/>
              <w:spacing w:before="40" w:after="40" w:line="240" w:lineRule="auto"/>
              <w:rPr>
                <w:b/>
                <w:bCs w:val="0"/>
                <w:sz w:val="16"/>
                <w:szCs w:val="16"/>
              </w:rPr>
            </w:pPr>
            <w:r w:rsidRPr="002A39CD">
              <w:rPr>
                <w:b/>
                <w:bCs w:val="0"/>
                <w:sz w:val="16"/>
                <w:szCs w:val="16"/>
              </w:rPr>
              <w:t>Co</w:t>
            </w:r>
            <w:r w:rsidR="00B420B3">
              <w:rPr>
                <w:b/>
                <w:bCs w:val="0"/>
                <w:sz w:val="16"/>
                <w:szCs w:val="16"/>
              </w:rPr>
              <w:t>re Standard 5</w:t>
            </w:r>
            <w:r w:rsidRPr="002A39CD">
              <w:rPr>
                <w:b/>
                <w:bCs w:val="0"/>
                <w:sz w:val="16"/>
                <w:szCs w:val="16"/>
              </w:rPr>
              <w:t>:</w:t>
            </w:r>
            <w:r w:rsidRPr="002A39CD">
              <w:rPr>
                <w:bCs w:val="0"/>
                <w:sz w:val="16"/>
                <w:szCs w:val="16"/>
              </w:rPr>
              <w:t xml:space="preserve"> </w:t>
            </w:r>
            <w:r w:rsidRPr="002A39CD">
              <w:rPr>
                <w:b/>
                <w:bCs w:val="0"/>
                <w:sz w:val="16"/>
                <w:szCs w:val="16"/>
              </w:rPr>
              <w:t>T</w:t>
            </w:r>
            <w:r w:rsidR="00B420B3">
              <w:rPr>
                <w:b/>
                <w:bCs w:val="0"/>
                <w:sz w:val="16"/>
                <w:szCs w:val="16"/>
              </w:rPr>
              <w:t>echnical analysis and intervention</w:t>
            </w:r>
          </w:p>
          <w:p w14:paraId="40B9DCC2" w14:textId="199FF95B" w:rsidR="003A2C62" w:rsidRPr="00B420B3" w:rsidRDefault="00B420B3" w:rsidP="006C0D83">
            <w:pPr>
              <w:autoSpaceDE w:val="0"/>
              <w:autoSpaceDN w:val="0"/>
              <w:adjustRightInd w:val="0"/>
              <w:spacing w:before="40" w:after="40" w:line="240" w:lineRule="auto"/>
              <w:rPr>
                <w:bCs w:val="0"/>
                <w:sz w:val="16"/>
                <w:szCs w:val="16"/>
              </w:rPr>
            </w:pPr>
            <w:r w:rsidRPr="00B420B3">
              <w:rPr>
                <w:bCs w:val="0"/>
                <w:sz w:val="16"/>
                <w:szCs w:val="16"/>
              </w:rPr>
              <w:t>Livestock interventions are based on sound technical analysis and are</w:t>
            </w:r>
            <w:r>
              <w:rPr>
                <w:bCs w:val="0"/>
                <w:sz w:val="16"/>
                <w:szCs w:val="16"/>
              </w:rPr>
              <w:t xml:space="preserve"> </w:t>
            </w:r>
            <w:r w:rsidRPr="00B420B3">
              <w:rPr>
                <w:bCs w:val="0"/>
                <w:sz w:val="16"/>
                <w:szCs w:val="16"/>
              </w:rPr>
              <w:t>implemented fairly, based on transparent and participatory targeting.</w:t>
            </w:r>
          </w:p>
        </w:tc>
        <w:tc>
          <w:tcPr>
            <w:tcW w:w="593" w:type="dxa"/>
            <w:vMerge/>
            <w:tcBorders>
              <w:left w:val="single" w:sz="4" w:space="0" w:color="579305" w:themeColor="accent1"/>
              <w:right w:val="single" w:sz="4" w:space="0" w:color="579305" w:themeColor="accent1"/>
            </w:tcBorders>
          </w:tcPr>
          <w:p w14:paraId="3556CDC0" w14:textId="77777777" w:rsidR="003A2C62" w:rsidRPr="002A39CD" w:rsidRDefault="003A2C62" w:rsidP="006C0D83">
            <w:pPr>
              <w:spacing w:before="40" w:after="40" w:line="240" w:lineRule="auto"/>
              <w:jc w:val="center"/>
              <w:rPr>
                <w:b/>
                <w:i/>
                <w:sz w:val="16"/>
                <w:szCs w:val="16"/>
                <w:highlight w:val="yellow"/>
                <w:lang w:eastAsia="fr-FR"/>
              </w:rPr>
            </w:pPr>
          </w:p>
        </w:tc>
        <w:tc>
          <w:tcPr>
            <w:tcW w:w="5173" w:type="dxa"/>
            <w:vMerge w:val="restart"/>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E201F55" w14:textId="77777777" w:rsidR="003A2C62" w:rsidRPr="002A39CD" w:rsidRDefault="003A2C62" w:rsidP="006C0D83">
            <w:pPr>
              <w:spacing w:before="40" w:after="40" w:line="240" w:lineRule="auto"/>
              <w:rPr>
                <w:bCs w:val="0"/>
                <w:sz w:val="16"/>
                <w:szCs w:val="16"/>
              </w:rPr>
            </w:pPr>
            <w:r w:rsidRPr="002A39CD">
              <w:rPr>
                <w:b/>
                <w:bCs w:val="0"/>
                <w:sz w:val="16"/>
                <w:szCs w:val="16"/>
              </w:rPr>
              <w:t>Foundational Standard-Analysis/ Standard 3:</w:t>
            </w:r>
            <w:r w:rsidRPr="002A39CD">
              <w:rPr>
                <w:rFonts w:cs="Myriad Pro"/>
                <w:bCs w:val="0"/>
                <w:sz w:val="16"/>
                <w:szCs w:val="16"/>
              </w:rPr>
              <w:t xml:space="preserve"> </w:t>
            </w:r>
            <w:r w:rsidRPr="002A39CD">
              <w:rPr>
                <w:b/>
                <w:bCs w:val="0"/>
                <w:sz w:val="16"/>
                <w:szCs w:val="16"/>
              </w:rPr>
              <w:t>Monitoring</w:t>
            </w:r>
            <w:r w:rsidRPr="002A39CD">
              <w:rPr>
                <w:bCs w:val="0"/>
                <w:sz w:val="16"/>
                <w:szCs w:val="16"/>
              </w:rPr>
              <w:br/>
              <w:t>Regular monitoring of education response activities and the evolving learning needs of the affected population is carried out.</w:t>
            </w:r>
          </w:p>
          <w:p w14:paraId="115EDEE4" w14:textId="77777777" w:rsidR="003A2C62" w:rsidRPr="002A39CD" w:rsidRDefault="003A2C62" w:rsidP="006C0D83">
            <w:pPr>
              <w:spacing w:before="40" w:after="40" w:line="240" w:lineRule="auto"/>
              <w:rPr>
                <w:bCs w:val="0"/>
                <w:sz w:val="16"/>
                <w:szCs w:val="16"/>
              </w:rPr>
            </w:pPr>
            <w:r w:rsidRPr="002A39CD">
              <w:rPr>
                <w:b/>
                <w:bCs w:val="0"/>
                <w:sz w:val="16"/>
                <w:szCs w:val="16"/>
              </w:rPr>
              <w:t>Foundational Standard-Analysis/ Standard 4:</w:t>
            </w:r>
            <w:r w:rsidRPr="002A39CD">
              <w:rPr>
                <w:rFonts w:cs="Myriad Pro"/>
                <w:bCs w:val="0"/>
                <w:sz w:val="16"/>
                <w:szCs w:val="16"/>
              </w:rPr>
              <w:t xml:space="preserve"> </w:t>
            </w:r>
            <w:r w:rsidRPr="002A39CD">
              <w:rPr>
                <w:b/>
                <w:bCs w:val="0"/>
                <w:sz w:val="16"/>
                <w:szCs w:val="16"/>
              </w:rPr>
              <w:t>Evaluation</w:t>
            </w:r>
            <w:r w:rsidRPr="002A39CD">
              <w:rPr>
                <w:b/>
                <w:bCs w:val="0"/>
                <w:sz w:val="16"/>
                <w:szCs w:val="16"/>
              </w:rPr>
              <w:br/>
            </w:r>
            <w:r w:rsidRPr="002A39CD">
              <w:rPr>
                <w:bCs w:val="0"/>
                <w:sz w:val="16"/>
                <w:szCs w:val="16"/>
              </w:rPr>
              <w:t>Systematic and impartial evaluations improve education response activities and enhance accountability.</w:t>
            </w:r>
          </w:p>
        </w:tc>
        <w:tc>
          <w:tcPr>
            <w:tcW w:w="1134" w:type="dxa"/>
            <w:vMerge w:val="restart"/>
            <w:tcBorders>
              <w:top w:val="nil"/>
              <w:left w:val="single" w:sz="4" w:space="0" w:color="579305" w:themeColor="accent1"/>
              <w:right w:val="nil"/>
            </w:tcBorders>
            <w:vAlign w:val="center"/>
          </w:tcPr>
          <w:p w14:paraId="7F999097" w14:textId="5627A12B" w:rsidR="003A2C62" w:rsidRPr="002A39CD" w:rsidRDefault="006C0D83" w:rsidP="006C0D83">
            <w:pPr>
              <w:spacing w:before="40" w:after="40" w:line="240" w:lineRule="auto"/>
              <w:jc w:val="center"/>
              <w:rPr>
                <w:b/>
                <w:i/>
                <w:sz w:val="16"/>
                <w:szCs w:val="16"/>
                <w:lang w:eastAsia="fr-FR"/>
              </w:rPr>
            </w:pPr>
            <w:r>
              <w:rPr>
                <w:noProof/>
                <w:lang w:eastAsia="en-GB"/>
              </w:rPr>
              <w:drawing>
                <wp:inline distT="0" distB="0" distL="0" distR="0" wp14:anchorId="495ED499" wp14:editId="560ED396">
                  <wp:extent cx="504000" cy="719328"/>
                  <wp:effectExtent l="0" t="0" r="4445" b="0"/>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18">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r>
      <w:tr w:rsidR="003A2C62" w:rsidRPr="002A39CD" w14:paraId="7D336701" w14:textId="77777777" w:rsidTr="006C0D83">
        <w:trPr>
          <w:trHeight w:val="987"/>
          <w:jc w:val="center"/>
        </w:trPr>
        <w:tc>
          <w:tcPr>
            <w:tcW w:w="1134" w:type="dxa"/>
            <w:tcBorders>
              <w:top w:val="nil"/>
              <w:left w:val="nil"/>
              <w:bottom w:val="nil"/>
              <w:right w:val="single" w:sz="4" w:space="0" w:color="579305" w:themeColor="accent1"/>
            </w:tcBorders>
            <w:vAlign w:val="center"/>
          </w:tcPr>
          <w:p w14:paraId="3D58DA56" w14:textId="279110FE" w:rsidR="003A2C62" w:rsidRPr="002A39CD" w:rsidRDefault="006C0D83" w:rsidP="006C0D83">
            <w:pPr>
              <w:spacing w:before="40" w:after="40" w:line="240" w:lineRule="auto"/>
              <w:jc w:val="center"/>
              <w:rPr>
                <w:noProof/>
                <w:sz w:val="16"/>
                <w:szCs w:val="16"/>
                <w:lang w:val="fr-FR" w:eastAsia="fr-FR"/>
              </w:rPr>
            </w:pPr>
            <w:r>
              <w:rPr>
                <w:noProof/>
                <w:lang w:eastAsia="en-GB"/>
              </w:rPr>
              <w:drawing>
                <wp:inline distT="0" distB="0" distL="0" distR="0" wp14:anchorId="0345A9DB" wp14:editId="2291F846">
                  <wp:extent cx="504000" cy="719328"/>
                  <wp:effectExtent l="0" t="0" r="4445" b="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18">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4BCE21F" w14:textId="77777777" w:rsidR="003A2C62" w:rsidRPr="002A39CD" w:rsidRDefault="003A2C62" w:rsidP="006C0D83">
            <w:pPr>
              <w:spacing w:before="40" w:after="40" w:line="240" w:lineRule="auto"/>
              <w:rPr>
                <w:b/>
                <w:bCs w:val="0"/>
                <w:sz w:val="16"/>
                <w:szCs w:val="16"/>
              </w:rPr>
            </w:pPr>
            <w:r w:rsidRPr="002A39CD">
              <w:rPr>
                <w:b/>
                <w:bCs w:val="0"/>
                <w:sz w:val="16"/>
                <w:szCs w:val="16"/>
              </w:rPr>
              <w:t>Foundational Standard-Analysis/ Standard 2:</w:t>
            </w:r>
            <w:r w:rsidRPr="002A39CD">
              <w:rPr>
                <w:rFonts w:cs="Myriad Pro"/>
                <w:bCs w:val="0"/>
                <w:sz w:val="16"/>
                <w:szCs w:val="16"/>
              </w:rPr>
              <w:t xml:space="preserve"> </w:t>
            </w:r>
            <w:r w:rsidRPr="002A39CD">
              <w:rPr>
                <w:b/>
                <w:bCs w:val="0"/>
                <w:sz w:val="16"/>
                <w:szCs w:val="16"/>
              </w:rPr>
              <w:t>Response strategies</w:t>
            </w:r>
            <w:r w:rsidRPr="002A39CD">
              <w:rPr>
                <w:b/>
                <w:bCs w:val="0"/>
                <w:sz w:val="16"/>
                <w:szCs w:val="16"/>
              </w:rPr>
              <w:br/>
            </w:r>
            <w:r w:rsidRPr="002A39CD">
              <w:rPr>
                <w:bCs w:val="0"/>
                <w:sz w:val="16"/>
                <w:szCs w:val="16"/>
              </w:rPr>
              <w:t>Inclusive education response strategies include a clear description of the context, barriers to the right to education and strategies to overcome those barriers.</w:t>
            </w:r>
          </w:p>
        </w:tc>
        <w:tc>
          <w:tcPr>
            <w:tcW w:w="593" w:type="dxa"/>
            <w:vMerge/>
            <w:tcBorders>
              <w:left w:val="single" w:sz="4" w:space="0" w:color="579305" w:themeColor="accent1"/>
              <w:right w:val="single" w:sz="4" w:space="0" w:color="579305" w:themeColor="accent1"/>
            </w:tcBorders>
          </w:tcPr>
          <w:p w14:paraId="2D3B80AD" w14:textId="77777777" w:rsidR="003A2C62" w:rsidRPr="002A39CD" w:rsidRDefault="003A2C62" w:rsidP="006C0D83">
            <w:pPr>
              <w:spacing w:before="40" w:after="40" w:line="240" w:lineRule="auto"/>
              <w:jc w:val="center"/>
              <w:rPr>
                <w:b/>
                <w:i/>
                <w:sz w:val="16"/>
                <w:szCs w:val="16"/>
                <w:highlight w:val="yellow"/>
                <w:lang w:eastAsia="fr-FR"/>
              </w:rPr>
            </w:pPr>
          </w:p>
        </w:tc>
        <w:tc>
          <w:tcPr>
            <w:tcW w:w="5173" w:type="dxa"/>
            <w:vMerge/>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EC43647" w14:textId="77777777" w:rsidR="003A2C62" w:rsidRPr="002A39CD" w:rsidRDefault="003A2C62" w:rsidP="006C0D83">
            <w:pPr>
              <w:spacing w:before="40" w:after="40" w:line="240" w:lineRule="auto"/>
              <w:rPr>
                <w:b/>
                <w:bCs w:val="0"/>
                <w:sz w:val="16"/>
                <w:szCs w:val="16"/>
              </w:rPr>
            </w:pPr>
          </w:p>
        </w:tc>
        <w:tc>
          <w:tcPr>
            <w:tcW w:w="1134" w:type="dxa"/>
            <w:vMerge/>
            <w:tcBorders>
              <w:left w:val="single" w:sz="4" w:space="0" w:color="579305" w:themeColor="accent1"/>
              <w:bottom w:val="nil"/>
              <w:right w:val="nil"/>
            </w:tcBorders>
            <w:vAlign w:val="center"/>
          </w:tcPr>
          <w:p w14:paraId="28631BEF" w14:textId="77777777" w:rsidR="003A2C62" w:rsidRPr="002A39CD" w:rsidRDefault="003A2C62" w:rsidP="006C0D83">
            <w:pPr>
              <w:spacing w:before="40" w:after="40" w:line="240" w:lineRule="auto"/>
              <w:jc w:val="center"/>
              <w:rPr>
                <w:b/>
                <w:i/>
                <w:noProof/>
                <w:sz w:val="16"/>
                <w:szCs w:val="16"/>
                <w:lang w:eastAsia="fr-FR"/>
              </w:rPr>
            </w:pPr>
          </w:p>
        </w:tc>
      </w:tr>
      <w:tr w:rsidR="003A2C62" w:rsidRPr="002A39CD" w14:paraId="3577FAC2" w14:textId="77777777" w:rsidTr="006C0D83">
        <w:trPr>
          <w:trHeight w:val="753"/>
          <w:jc w:val="center"/>
        </w:trPr>
        <w:tc>
          <w:tcPr>
            <w:tcW w:w="1134" w:type="dxa"/>
            <w:tcBorders>
              <w:top w:val="nil"/>
              <w:left w:val="nil"/>
              <w:bottom w:val="nil"/>
              <w:right w:val="single" w:sz="4" w:space="0" w:color="579305" w:themeColor="accent1"/>
            </w:tcBorders>
            <w:vAlign w:val="center"/>
          </w:tcPr>
          <w:p w14:paraId="380380A2" w14:textId="0191E059" w:rsidR="003A2C62" w:rsidRPr="002A39CD" w:rsidRDefault="006C0D83" w:rsidP="006C0D83">
            <w:pPr>
              <w:spacing w:before="40" w:after="40" w:line="240" w:lineRule="auto"/>
              <w:jc w:val="center"/>
              <w:rPr>
                <w:noProof/>
                <w:sz w:val="16"/>
                <w:szCs w:val="16"/>
              </w:rPr>
            </w:pPr>
            <w:r>
              <w:rPr>
                <w:noProof/>
                <w:lang w:eastAsia="en-GB"/>
              </w:rPr>
              <w:drawing>
                <wp:inline distT="0" distB="0" distL="0" distR="0" wp14:anchorId="545859C6" wp14:editId="5C78D78C">
                  <wp:extent cx="502920" cy="719328"/>
                  <wp:effectExtent l="0" t="0" r="508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S-cover.png"/>
                          <pic:cNvPicPr/>
                        </pic:nvPicPr>
                        <pic:blipFill>
                          <a:blip r:embed="rId19">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96A96A6" w14:textId="77777777" w:rsidR="003A2C62" w:rsidRPr="002A39CD" w:rsidRDefault="003A2C62" w:rsidP="006C0D83">
            <w:pPr>
              <w:spacing w:before="40" w:after="40" w:line="240" w:lineRule="auto"/>
              <w:rPr>
                <w:b/>
                <w:bCs w:val="0"/>
                <w:sz w:val="16"/>
                <w:szCs w:val="16"/>
              </w:rPr>
            </w:pPr>
            <w:r w:rsidRPr="002A39CD">
              <w:rPr>
                <w:b/>
                <w:bCs w:val="0"/>
                <w:sz w:val="16"/>
                <w:szCs w:val="16"/>
              </w:rPr>
              <w:t>Core Standard 1:</w:t>
            </w:r>
            <w:r w:rsidRPr="002A39CD">
              <w:rPr>
                <w:bCs w:val="0"/>
                <w:sz w:val="16"/>
                <w:szCs w:val="16"/>
              </w:rPr>
              <w:t xml:space="preserve"> </w:t>
            </w:r>
            <w:r w:rsidRPr="002A39CD">
              <w:rPr>
                <w:b/>
                <w:bCs w:val="0"/>
                <w:sz w:val="16"/>
                <w:szCs w:val="16"/>
              </w:rPr>
              <w:t xml:space="preserve">Market-Oriented Programming </w:t>
            </w:r>
            <w:r w:rsidRPr="002A39CD">
              <w:rPr>
                <w:b/>
                <w:bCs w:val="0"/>
                <w:sz w:val="16"/>
                <w:szCs w:val="16"/>
              </w:rPr>
              <w:br/>
            </w:r>
            <w:r w:rsidRPr="002A39CD">
              <w:rPr>
                <w:bCs w:val="0"/>
                <w:sz w:val="16"/>
                <w:szCs w:val="16"/>
              </w:rPr>
              <w:t>Program</w:t>
            </w:r>
            <w:r>
              <w:rPr>
                <w:bCs w:val="0"/>
                <w:sz w:val="16"/>
                <w:szCs w:val="16"/>
              </w:rPr>
              <w:t>me</w:t>
            </w:r>
            <w:r w:rsidRPr="002A39CD">
              <w:rPr>
                <w:bCs w:val="0"/>
                <w:sz w:val="16"/>
                <w:szCs w:val="16"/>
              </w:rPr>
              <w:t xml:space="preserve"> design and implementation decisions consider economic and market dynamics.</w:t>
            </w:r>
          </w:p>
        </w:tc>
        <w:tc>
          <w:tcPr>
            <w:tcW w:w="593" w:type="dxa"/>
            <w:vMerge/>
            <w:tcBorders>
              <w:left w:val="single" w:sz="4" w:space="0" w:color="579305" w:themeColor="accent1"/>
              <w:right w:val="single" w:sz="4" w:space="0" w:color="579305" w:themeColor="accent1"/>
            </w:tcBorders>
          </w:tcPr>
          <w:p w14:paraId="0922494E" w14:textId="77777777" w:rsidR="003A2C62" w:rsidRPr="002A39CD" w:rsidRDefault="003A2C62" w:rsidP="006C0D83">
            <w:pPr>
              <w:spacing w:before="40" w:after="40" w:line="240" w:lineRule="auto"/>
              <w:jc w:val="center"/>
              <w:rPr>
                <w:b/>
                <w:i/>
                <w:sz w:val="16"/>
                <w:szCs w:val="16"/>
                <w:highlight w:val="yellow"/>
                <w:lang w:eastAsia="fr-FR"/>
              </w:rPr>
            </w:pP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362F780" w14:textId="0C940D5A" w:rsidR="003A2C62" w:rsidRPr="004B4DB2" w:rsidRDefault="003A2C62" w:rsidP="006C0D83">
            <w:pPr>
              <w:spacing w:before="40" w:after="40" w:line="240" w:lineRule="auto"/>
              <w:rPr>
                <w:b/>
                <w:bCs w:val="0"/>
                <w:sz w:val="16"/>
                <w:szCs w:val="16"/>
              </w:rPr>
            </w:pPr>
            <w:r w:rsidRPr="002A39CD">
              <w:rPr>
                <w:b/>
                <w:bCs w:val="0"/>
                <w:sz w:val="16"/>
                <w:szCs w:val="16"/>
              </w:rPr>
              <w:t>Co</w:t>
            </w:r>
            <w:r w:rsidR="004B4DB2">
              <w:rPr>
                <w:b/>
                <w:bCs w:val="0"/>
                <w:sz w:val="16"/>
                <w:szCs w:val="16"/>
              </w:rPr>
              <w:t>re Standard 6</w:t>
            </w:r>
            <w:r w:rsidRPr="002A39CD">
              <w:rPr>
                <w:b/>
                <w:bCs w:val="0"/>
                <w:sz w:val="16"/>
                <w:szCs w:val="16"/>
              </w:rPr>
              <w:t>:</w:t>
            </w:r>
            <w:r w:rsidRPr="004B4DB2">
              <w:rPr>
                <w:b/>
                <w:bCs w:val="0"/>
                <w:sz w:val="16"/>
                <w:szCs w:val="16"/>
              </w:rPr>
              <w:t xml:space="preserve"> </w:t>
            </w:r>
            <w:r w:rsidR="00286FDD">
              <w:rPr>
                <w:b/>
                <w:bCs w:val="0"/>
                <w:sz w:val="16"/>
                <w:szCs w:val="16"/>
              </w:rPr>
              <w:t xml:space="preserve">Monitoring, </w:t>
            </w:r>
            <w:r w:rsidRPr="002A39CD">
              <w:rPr>
                <w:b/>
                <w:bCs w:val="0"/>
                <w:sz w:val="16"/>
                <w:szCs w:val="16"/>
              </w:rPr>
              <w:t>evaluation, and livelihoods impact</w:t>
            </w:r>
            <w:r w:rsidRPr="002A39CD">
              <w:rPr>
                <w:b/>
                <w:bCs w:val="0"/>
                <w:sz w:val="16"/>
                <w:szCs w:val="16"/>
              </w:rPr>
              <w:br/>
            </w:r>
            <w:r w:rsidR="004B4DB2" w:rsidRPr="004B4DB2">
              <w:rPr>
                <w:bCs w:val="0"/>
                <w:sz w:val="16"/>
                <w:szCs w:val="16"/>
              </w:rPr>
              <w:t>Monitoring, evaluation, and livelihoods impact analysis is conducted to check and refine implementation as necessary, as well as to draw lessons for future programming.</w:t>
            </w:r>
          </w:p>
        </w:tc>
        <w:tc>
          <w:tcPr>
            <w:tcW w:w="1134" w:type="dxa"/>
            <w:tcBorders>
              <w:top w:val="nil"/>
              <w:left w:val="single" w:sz="4" w:space="0" w:color="579305" w:themeColor="accent1"/>
              <w:bottom w:val="nil"/>
              <w:right w:val="nil"/>
            </w:tcBorders>
            <w:vAlign w:val="center"/>
          </w:tcPr>
          <w:p w14:paraId="06BDABE4" w14:textId="5AF98904" w:rsidR="003A2C62" w:rsidRPr="002A39CD" w:rsidRDefault="006C0D83" w:rsidP="006C0D83">
            <w:pPr>
              <w:spacing w:before="40" w:after="40" w:line="240" w:lineRule="auto"/>
              <w:jc w:val="center"/>
              <w:rPr>
                <w:b/>
                <w:i/>
                <w:sz w:val="16"/>
                <w:szCs w:val="16"/>
                <w:lang w:eastAsia="fr-FR"/>
              </w:rPr>
            </w:pPr>
            <w:r>
              <w:rPr>
                <w:noProof/>
                <w:lang w:eastAsia="en-GB"/>
              </w:rPr>
              <w:drawing>
                <wp:inline distT="0" distB="0" distL="0" distR="0" wp14:anchorId="320A4A47" wp14:editId="4FD047E1">
                  <wp:extent cx="512064" cy="71932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0">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r>
    </w:tbl>
    <w:p w14:paraId="741D6E2C" w14:textId="77777777" w:rsidR="003A2C62" w:rsidRDefault="003A2C62" w:rsidP="000A54BC">
      <w:pPr>
        <w:spacing w:before="0"/>
      </w:pPr>
    </w:p>
    <w:p w14:paraId="39A9EDA1" w14:textId="470E1E7E" w:rsidR="006C0D83" w:rsidRDefault="006C0D83">
      <w:pPr>
        <w:spacing w:before="0" w:line="240" w:lineRule="auto"/>
      </w:pPr>
      <w:r>
        <w:br w:type="page"/>
      </w:r>
    </w:p>
    <w:p w14:paraId="03B49BEC" w14:textId="77777777" w:rsidR="006C0D83" w:rsidRPr="003A2C62" w:rsidRDefault="006C0D83" w:rsidP="000A54BC">
      <w:pPr>
        <w:spacing w:before="0"/>
      </w:pPr>
    </w:p>
    <w:tbl>
      <w:tblPr>
        <w:tblStyle w:val="Grilledutableau1"/>
        <w:tblW w:w="11340" w:type="dxa"/>
        <w:jc w:val="center"/>
        <w:tblLayout w:type="fixed"/>
        <w:tblLook w:val="04A0" w:firstRow="1" w:lastRow="0" w:firstColumn="1" w:lastColumn="0" w:noHBand="0" w:noVBand="1"/>
      </w:tblPr>
      <w:tblGrid>
        <w:gridCol w:w="1403"/>
        <w:gridCol w:w="9172"/>
        <w:gridCol w:w="765"/>
      </w:tblGrid>
      <w:tr w:rsidR="003A2C62" w:rsidRPr="002A39CD" w14:paraId="5B39A11F" w14:textId="77777777" w:rsidTr="006C0D83">
        <w:trPr>
          <w:jc w:val="center"/>
        </w:trPr>
        <w:tc>
          <w:tcPr>
            <w:tcW w:w="1403" w:type="dxa"/>
            <w:tcBorders>
              <w:top w:val="nil"/>
              <w:left w:val="nil"/>
              <w:bottom w:val="nil"/>
              <w:right w:val="single" w:sz="4" w:space="0" w:color="579305" w:themeColor="accent1"/>
            </w:tcBorders>
            <w:vAlign w:val="center"/>
          </w:tcPr>
          <w:p w14:paraId="2906C5E9" w14:textId="77777777" w:rsidR="003A2C62" w:rsidRPr="002A39CD" w:rsidRDefault="003A2C62" w:rsidP="006C0D83">
            <w:pPr>
              <w:spacing w:before="40" w:after="40" w:line="240" w:lineRule="auto"/>
              <w:jc w:val="center"/>
              <w:rPr>
                <w:noProof/>
                <w:sz w:val="16"/>
                <w:szCs w:val="16"/>
              </w:rPr>
            </w:pP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03E35590" w14:textId="11BBD9B4" w:rsidR="003A2C62" w:rsidRPr="002A39CD" w:rsidRDefault="003A2C62" w:rsidP="006C0D83">
            <w:pPr>
              <w:pStyle w:val="tableheading"/>
              <w:spacing w:before="40" w:after="40" w:line="240" w:lineRule="auto"/>
              <w:jc w:val="center"/>
            </w:pPr>
            <w:r w:rsidRPr="002A39CD">
              <w:t>Capitali</w:t>
            </w:r>
            <w:r>
              <w:t>s</w:t>
            </w:r>
            <w:r w:rsidRPr="002A39CD">
              <w:t>ation, Learning and Changing</w:t>
            </w:r>
          </w:p>
        </w:tc>
        <w:tc>
          <w:tcPr>
            <w:tcW w:w="765" w:type="dxa"/>
            <w:vMerge w:val="restart"/>
            <w:tcBorders>
              <w:top w:val="nil"/>
              <w:left w:val="single" w:sz="4" w:space="0" w:color="579305" w:themeColor="accent1"/>
              <w:bottom w:val="nil"/>
              <w:right w:val="nil"/>
            </w:tcBorders>
            <w:vAlign w:val="center"/>
          </w:tcPr>
          <w:p w14:paraId="21C37AA0" w14:textId="77777777" w:rsidR="003A2C62" w:rsidRDefault="003A2C62" w:rsidP="006C0D83">
            <w:pPr>
              <w:spacing w:before="40" w:after="40" w:line="240" w:lineRule="auto"/>
              <w:jc w:val="center"/>
              <w:rPr>
                <w:rFonts w:ascii="Copperplate Gothic Light" w:hAnsi="Copperplate Gothic Light"/>
                <w:b/>
                <w:bCs w:val="0"/>
                <w:color w:val="1F497D"/>
                <w:sz w:val="40"/>
                <w:szCs w:val="40"/>
                <w:lang w:eastAsia="fr-FR"/>
              </w:rPr>
            </w:pPr>
            <w:r>
              <w:rPr>
                <w:rFonts w:ascii="Copperplate Gothic Light" w:hAnsi="Copperplate Gothic Light"/>
                <w:b/>
                <w:bCs w:val="0"/>
                <w:color w:val="1F497D"/>
                <w:sz w:val="40"/>
                <w:szCs w:val="40"/>
                <w:lang w:eastAsia="fr-FR"/>
              </w:rPr>
              <w:t>PC</w:t>
            </w:r>
          </w:p>
          <w:p w14:paraId="43562797" w14:textId="6192EF38" w:rsidR="00E55990" w:rsidRPr="002A39CD" w:rsidRDefault="00286FDD" w:rsidP="006C0D83">
            <w:pPr>
              <w:spacing w:before="40" w:after="40" w:line="240" w:lineRule="auto"/>
              <w:jc w:val="center"/>
              <w:rPr>
                <w:rFonts w:ascii="Copperplate Gothic Light" w:hAnsi="Copperplate Gothic Light"/>
                <w:b/>
                <w:bCs w:val="0"/>
                <w:color w:val="1F497D"/>
                <w:sz w:val="40"/>
                <w:szCs w:val="40"/>
                <w:lang w:eastAsia="fr-FR"/>
              </w:rPr>
            </w:pPr>
            <w:r>
              <w:rPr>
                <w:rFonts w:ascii="Copperplate Gothic Light" w:hAnsi="Copperplate Gothic Light"/>
                <w:b/>
                <w:bCs w:val="0"/>
                <w:color w:val="1F497D"/>
                <w:sz w:val="40"/>
                <w:szCs w:val="40"/>
                <w:lang w:eastAsia="fr-FR"/>
              </w:rPr>
              <w:t>M</w:t>
            </w:r>
          </w:p>
        </w:tc>
      </w:tr>
      <w:tr w:rsidR="003A2C62" w:rsidRPr="002A39CD" w14:paraId="76FBE182" w14:textId="77777777" w:rsidTr="006C0D83">
        <w:trPr>
          <w:jc w:val="center"/>
        </w:trPr>
        <w:tc>
          <w:tcPr>
            <w:tcW w:w="1403" w:type="dxa"/>
            <w:tcBorders>
              <w:top w:val="nil"/>
              <w:left w:val="nil"/>
              <w:bottom w:val="nil"/>
              <w:right w:val="single" w:sz="4" w:space="0" w:color="579305" w:themeColor="accent1"/>
            </w:tcBorders>
            <w:vAlign w:val="center"/>
          </w:tcPr>
          <w:p w14:paraId="4CE71739" w14:textId="77777777" w:rsidR="003A2C62" w:rsidRPr="002A39CD" w:rsidRDefault="003A2C62" w:rsidP="006C0D83">
            <w:pPr>
              <w:spacing w:before="40" w:after="40" w:line="240" w:lineRule="auto"/>
              <w:jc w:val="center"/>
              <w:rPr>
                <w:noProof/>
                <w:sz w:val="16"/>
                <w:szCs w:val="16"/>
              </w:rPr>
            </w:pP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872D44D" w14:textId="77777777" w:rsidR="003A2C62" w:rsidRPr="002A39CD" w:rsidRDefault="003A2C62" w:rsidP="006C0D83">
            <w:pPr>
              <w:spacing w:before="40" w:after="40" w:line="240" w:lineRule="auto"/>
              <w:jc w:val="center"/>
              <w:rPr>
                <w:b/>
                <w:bCs w:val="0"/>
                <w:i/>
                <w:color w:val="548DD4"/>
                <w:sz w:val="16"/>
                <w:szCs w:val="16"/>
              </w:rPr>
            </w:pPr>
            <w:r w:rsidRPr="002A39CD">
              <w:rPr>
                <w:b/>
                <w:bCs w:val="0"/>
                <w:i/>
                <w:color w:val="548DD4"/>
                <w:sz w:val="16"/>
                <w:szCs w:val="16"/>
              </w:rPr>
              <w:t>Is learning happening in a way to enable change to happen?</w:t>
            </w:r>
          </w:p>
        </w:tc>
        <w:tc>
          <w:tcPr>
            <w:tcW w:w="765" w:type="dxa"/>
            <w:vMerge/>
            <w:tcBorders>
              <w:top w:val="nil"/>
              <w:left w:val="single" w:sz="4" w:space="0" w:color="579305" w:themeColor="accent1"/>
              <w:bottom w:val="nil"/>
              <w:right w:val="nil"/>
            </w:tcBorders>
            <w:vAlign w:val="center"/>
          </w:tcPr>
          <w:p w14:paraId="48476BB5" w14:textId="77777777" w:rsidR="003A2C62" w:rsidRPr="002A39CD" w:rsidRDefault="003A2C62" w:rsidP="006C0D83">
            <w:pPr>
              <w:spacing w:before="40" w:after="40" w:line="240" w:lineRule="auto"/>
              <w:jc w:val="center"/>
              <w:rPr>
                <w:rFonts w:ascii="Copperplate Gothic Light" w:hAnsi="Copperplate Gothic Light"/>
                <w:b/>
                <w:bCs w:val="0"/>
                <w:color w:val="1F497D"/>
                <w:sz w:val="40"/>
                <w:szCs w:val="40"/>
                <w:lang w:eastAsia="fr-FR"/>
              </w:rPr>
            </w:pPr>
          </w:p>
        </w:tc>
      </w:tr>
      <w:tr w:rsidR="003A2C62" w:rsidRPr="002A39CD" w14:paraId="71B883CA" w14:textId="77777777" w:rsidTr="006C0D83">
        <w:trPr>
          <w:jc w:val="center"/>
        </w:trPr>
        <w:tc>
          <w:tcPr>
            <w:tcW w:w="1403" w:type="dxa"/>
            <w:tcBorders>
              <w:top w:val="nil"/>
              <w:left w:val="nil"/>
              <w:bottom w:val="nil"/>
              <w:right w:val="single" w:sz="4" w:space="0" w:color="579305" w:themeColor="accent1"/>
            </w:tcBorders>
            <w:vAlign w:val="center"/>
          </w:tcPr>
          <w:p w14:paraId="38072180" w14:textId="15F8D477" w:rsidR="003A2C62" w:rsidRPr="002A39CD" w:rsidRDefault="006C0D83" w:rsidP="006C0D83">
            <w:pPr>
              <w:spacing w:before="40" w:after="40" w:line="240" w:lineRule="auto"/>
              <w:jc w:val="center"/>
              <w:rPr>
                <w:b/>
                <w:i/>
                <w:sz w:val="16"/>
                <w:szCs w:val="16"/>
                <w:highlight w:val="yellow"/>
                <w:lang w:eastAsia="fr-FR"/>
              </w:rPr>
            </w:pPr>
            <w:r>
              <w:rPr>
                <w:noProof/>
                <w:lang w:eastAsia="en-GB"/>
              </w:rPr>
              <w:drawing>
                <wp:inline distT="0" distB="0" distL="0" distR="0" wp14:anchorId="05FB98B3" wp14:editId="201DB8BC">
                  <wp:extent cx="502920" cy="719328"/>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1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634C0D2E" w14:textId="77777777" w:rsidR="003A2C62" w:rsidRDefault="000047A2" w:rsidP="006C0D83">
            <w:pPr>
              <w:kinsoku w:val="0"/>
              <w:overflowPunct w:val="0"/>
              <w:spacing w:before="40" w:after="40" w:line="240" w:lineRule="auto"/>
              <w:textAlignment w:val="baseline"/>
              <w:rPr>
                <w:sz w:val="16"/>
                <w:szCs w:val="16"/>
              </w:rPr>
            </w:pPr>
            <w:r>
              <w:rPr>
                <w:b/>
                <w:bCs w:val="0"/>
                <w:sz w:val="16"/>
                <w:szCs w:val="16"/>
              </w:rPr>
              <w:t xml:space="preserve">CHS Commitment 7: </w:t>
            </w:r>
            <w:r w:rsidRPr="00FF3411">
              <w:rPr>
                <w:sz w:val="16"/>
                <w:szCs w:val="16"/>
              </w:rPr>
              <w:t>Communities and people affected by crisis can expect delivery</w:t>
            </w:r>
            <w:r w:rsidRPr="00FF3411">
              <w:t xml:space="preserve"> </w:t>
            </w:r>
            <w:r w:rsidRPr="00FF3411">
              <w:rPr>
                <w:sz w:val="16"/>
                <w:szCs w:val="16"/>
              </w:rPr>
              <w:t>of improved assistance as organisations learn from experience and reflection.</w:t>
            </w:r>
          </w:p>
          <w:p w14:paraId="77A28569" w14:textId="77777777" w:rsidR="000047A2" w:rsidRDefault="000047A2" w:rsidP="006C0D83">
            <w:pPr>
              <w:kinsoku w:val="0"/>
              <w:overflowPunct w:val="0"/>
              <w:spacing w:before="40" w:after="40" w:line="240" w:lineRule="auto"/>
              <w:textAlignment w:val="baseline"/>
              <w:rPr>
                <w:sz w:val="16"/>
                <w:szCs w:val="16"/>
              </w:rPr>
            </w:pPr>
          </w:p>
          <w:p w14:paraId="30E4F5F8" w14:textId="77777777" w:rsidR="000047A2" w:rsidRPr="000047A2" w:rsidRDefault="000047A2" w:rsidP="000047A2">
            <w:pPr>
              <w:spacing w:before="120" w:line="264" w:lineRule="auto"/>
              <w:rPr>
                <w:i/>
                <w:iCs/>
                <w:color w:val="000000"/>
                <w:kern w:val="24"/>
                <w:sz w:val="14"/>
                <w:szCs w:val="14"/>
                <w:lang w:eastAsia="fr-FR"/>
              </w:rPr>
            </w:pPr>
            <w:r w:rsidRPr="000047A2">
              <w:rPr>
                <w:bCs w:val="0"/>
                <w:i/>
                <w:iCs/>
                <w:sz w:val="16"/>
                <w:szCs w:val="16"/>
              </w:rPr>
              <w:t>(The Core Humanitarian Standard replaces Sphere Core Standards Chapter).</w:t>
            </w:r>
          </w:p>
          <w:p w14:paraId="18135E92" w14:textId="48A43EB3" w:rsidR="000047A2" w:rsidRPr="002A39CD" w:rsidRDefault="000047A2" w:rsidP="006C0D83">
            <w:pPr>
              <w:kinsoku w:val="0"/>
              <w:overflowPunct w:val="0"/>
              <w:spacing w:before="40" w:after="40" w:line="240" w:lineRule="auto"/>
              <w:textAlignment w:val="baseline"/>
              <w:rPr>
                <w:color w:val="000000"/>
                <w:kern w:val="24"/>
                <w:sz w:val="14"/>
                <w:szCs w:val="14"/>
                <w:lang w:eastAsia="fr-FR"/>
              </w:rPr>
            </w:pPr>
            <w:bookmarkStart w:id="0" w:name="_GoBack"/>
            <w:bookmarkEnd w:id="0"/>
          </w:p>
        </w:tc>
        <w:tc>
          <w:tcPr>
            <w:tcW w:w="765" w:type="dxa"/>
            <w:vMerge/>
            <w:tcBorders>
              <w:top w:val="nil"/>
              <w:left w:val="single" w:sz="4" w:space="0" w:color="579305" w:themeColor="accent1"/>
              <w:bottom w:val="nil"/>
              <w:right w:val="nil"/>
            </w:tcBorders>
            <w:vAlign w:val="center"/>
          </w:tcPr>
          <w:p w14:paraId="3A1FD198" w14:textId="77777777" w:rsidR="003A2C62" w:rsidRPr="002A39CD" w:rsidRDefault="003A2C62" w:rsidP="006C0D83">
            <w:pPr>
              <w:spacing w:before="40" w:after="40" w:line="240" w:lineRule="auto"/>
              <w:jc w:val="center"/>
              <w:rPr>
                <w:rFonts w:ascii="Copperplate Gothic Light" w:hAnsi="Copperplate Gothic Light"/>
                <w:b/>
                <w:bCs w:val="0"/>
                <w:color w:val="1F497D"/>
                <w:sz w:val="40"/>
                <w:szCs w:val="40"/>
                <w:lang w:eastAsia="fr-FR"/>
              </w:rPr>
            </w:pPr>
          </w:p>
        </w:tc>
      </w:tr>
      <w:tr w:rsidR="003A2C62" w:rsidRPr="002A39CD" w14:paraId="4F4EFEE9" w14:textId="77777777" w:rsidTr="006C0D83">
        <w:trPr>
          <w:trHeight w:val="264"/>
          <w:jc w:val="center"/>
        </w:trPr>
        <w:tc>
          <w:tcPr>
            <w:tcW w:w="1403" w:type="dxa"/>
            <w:tcBorders>
              <w:top w:val="nil"/>
              <w:left w:val="nil"/>
              <w:bottom w:val="nil"/>
              <w:right w:val="single" w:sz="4" w:space="0" w:color="579305" w:themeColor="accent1"/>
            </w:tcBorders>
            <w:vAlign w:val="center"/>
          </w:tcPr>
          <w:p w14:paraId="4EA4D8D7" w14:textId="216835A4" w:rsidR="003A2C62" w:rsidRPr="002A39CD" w:rsidRDefault="006C0D83" w:rsidP="006C0D83">
            <w:pPr>
              <w:spacing w:before="40" w:after="40" w:line="240" w:lineRule="auto"/>
              <w:jc w:val="center"/>
              <w:rPr>
                <w:b/>
                <w:i/>
                <w:sz w:val="16"/>
                <w:szCs w:val="16"/>
                <w:highlight w:val="yellow"/>
                <w:lang w:eastAsia="fr-FR"/>
              </w:rPr>
            </w:pPr>
            <w:r>
              <w:rPr>
                <w:noProof/>
                <w:lang w:eastAsia="en-GB"/>
              </w:rPr>
              <w:drawing>
                <wp:inline distT="0" distB="0" distL="0" distR="0" wp14:anchorId="35DEA3A1" wp14:editId="3938232B">
                  <wp:extent cx="512064" cy="71932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0">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251F7EB5" w14:textId="4E033A95" w:rsidR="003A2C62" w:rsidRPr="002A39CD" w:rsidRDefault="00286FDD" w:rsidP="006C0D83">
            <w:pPr>
              <w:spacing w:before="40" w:after="40" w:line="240" w:lineRule="auto"/>
              <w:rPr>
                <w:bCs w:val="0"/>
                <w:sz w:val="16"/>
                <w:szCs w:val="16"/>
              </w:rPr>
            </w:pPr>
            <w:r>
              <w:rPr>
                <w:b/>
                <w:bCs w:val="0"/>
                <w:sz w:val="16"/>
                <w:szCs w:val="16"/>
              </w:rPr>
              <w:t>Co</w:t>
            </w:r>
            <w:r w:rsidR="00B520FF">
              <w:rPr>
                <w:b/>
                <w:bCs w:val="0"/>
                <w:sz w:val="16"/>
                <w:szCs w:val="16"/>
              </w:rPr>
              <w:t>re</w:t>
            </w:r>
            <w:r>
              <w:rPr>
                <w:b/>
                <w:bCs w:val="0"/>
                <w:sz w:val="16"/>
                <w:szCs w:val="16"/>
              </w:rPr>
              <w:t xml:space="preserve"> Standard 6</w:t>
            </w:r>
            <w:r w:rsidR="003A2C62" w:rsidRPr="002A39CD">
              <w:rPr>
                <w:b/>
                <w:bCs w:val="0"/>
                <w:sz w:val="16"/>
                <w:szCs w:val="16"/>
              </w:rPr>
              <w:t>:</w:t>
            </w:r>
            <w:r w:rsidR="003A2C62" w:rsidRPr="002A39CD">
              <w:rPr>
                <w:bCs w:val="0"/>
                <w:sz w:val="16"/>
                <w:szCs w:val="16"/>
              </w:rPr>
              <w:t xml:space="preserve"> </w:t>
            </w:r>
            <w:r>
              <w:rPr>
                <w:b/>
                <w:bCs w:val="0"/>
                <w:sz w:val="16"/>
                <w:szCs w:val="16"/>
              </w:rPr>
              <w:t>Monitoring,</w:t>
            </w:r>
            <w:r w:rsidR="003A2C62" w:rsidRPr="002A39CD">
              <w:rPr>
                <w:b/>
                <w:bCs w:val="0"/>
                <w:sz w:val="16"/>
                <w:szCs w:val="16"/>
              </w:rPr>
              <w:t xml:space="preserve"> evaluation, and livelihoods impact</w:t>
            </w:r>
          </w:p>
          <w:p w14:paraId="444CADFC" w14:textId="783B7710" w:rsidR="003A2C62" w:rsidRPr="002A39CD" w:rsidRDefault="001B31E0" w:rsidP="006C0D83">
            <w:pPr>
              <w:kinsoku w:val="0"/>
              <w:overflowPunct w:val="0"/>
              <w:spacing w:before="40" w:after="40" w:line="240" w:lineRule="auto"/>
              <w:textAlignment w:val="baseline"/>
              <w:rPr>
                <w:color w:val="000000"/>
                <w:kern w:val="24"/>
                <w:sz w:val="16"/>
                <w:szCs w:val="16"/>
                <w:lang w:eastAsia="fr-FR"/>
              </w:rPr>
            </w:pPr>
            <w:r w:rsidRPr="004B4DB2">
              <w:rPr>
                <w:bCs w:val="0"/>
                <w:sz w:val="16"/>
                <w:szCs w:val="16"/>
              </w:rPr>
              <w:t>Monitoring, evaluation, and livelihoods impact analysis is conducted to check and refine implementation as necessary, as well as to draw lessons for future programming</w:t>
            </w:r>
          </w:p>
        </w:tc>
        <w:tc>
          <w:tcPr>
            <w:tcW w:w="765" w:type="dxa"/>
            <w:vMerge/>
            <w:tcBorders>
              <w:top w:val="nil"/>
              <w:left w:val="single" w:sz="4" w:space="0" w:color="579305" w:themeColor="accent1"/>
              <w:bottom w:val="nil"/>
              <w:right w:val="nil"/>
            </w:tcBorders>
          </w:tcPr>
          <w:p w14:paraId="4CBB7A48" w14:textId="77777777" w:rsidR="003A2C62" w:rsidRPr="002A39CD" w:rsidRDefault="003A2C62" w:rsidP="006C0D83">
            <w:pPr>
              <w:spacing w:before="40" w:after="40" w:line="240" w:lineRule="auto"/>
              <w:jc w:val="center"/>
              <w:rPr>
                <w:rFonts w:ascii="Copperplate Gothic Light" w:hAnsi="Copperplate Gothic Light"/>
                <w:b/>
                <w:bCs w:val="0"/>
                <w:color w:val="1F497D"/>
                <w:sz w:val="40"/>
                <w:szCs w:val="40"/>
                <w:lang w:eastAsia="fr-FR"/>
              </w:rPr>
            </w:pPr>
          </w:p>
        </w:tc>
      </w:tr>
    </w:tbl>
    <w:p w14:paraId="57563B2B" w14:textId="77777777" w:rsidR="00B450E0" w:rsidRDefault="00B450E0" w:rsidP="00B450E0">
      <w:pPr>
        <w:pStyle w:val="Heading4"/>
      </w:pPr>
      <w:r>
        <w:lastRenderedPageBreak/>
        <w:t>Selected Resources on Quality and Accountability for the 5 project cycle phases</w:t>
      </w:r>
    </w:p>
    <w:p w14:paraId="2228D3A3" w14:textId="77777777" w:rsidR="00B450E0" w:rsidRDefault="00B450E0" w:rsidP="00B450E0">
      <w:pPr>
        <w:pStyle w:val="credit"/>
      </w:pPr>
      <w:r>
        <w:t>Abstract from the booklet ‘Quality and Accountability for Project Cycle Management’ published by Community World Service Asia</w:t>
      </w:r>
    </w:p>
    <w:p w14:paraId="0F9FBEBF" w14:textId="77777777" w:rsidR="003A2C62" w:rsidRDefault="003A2C62" w:rsidP="00F002DF"/>
    <w:p w14:paraId="62B813C0" w14:textId="77777777" w:rsidR="00B450E0" w:rsidRPr="00F002DF" w:rsidRDefault="00B450E0" w:rsidP="00F002DF"/>
    <w:tbl>
      <w:tblPr>
        <w:tblStyle w:val="TableGrid"/>
        <w:tblW w:w="14709"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1809"/>
        <w:gridCol w:w="6521"/>
        <w:gridCol w:w="6379"/>
      </w:tblGrid>
      <w:tr w:rsidR="009F534E" w14:paraId="687AF9FE" w14:textId="77777777" w:rsidTr="00065EB9">
        <w:trPr>
          <w:cantSplit/>
          <w:tblHeader/>
        </w:trPr>
        <w:tc>
          <w:tcPr>
            <w:tcW w:w="1809" w:type="dxa"/>
            <w:shd w:val="clear" w:color="auto" w:fill="579305" w:themeFill="accent1"/>
          </w:tcPr>
          <w:p w14:paraId="3F9A485F" w14:textId="2FE73B1D" w:rsidR="00B450E0" w:rsidRDefault="00B450E0" w:rsidP="00B450E0">
            <w:pPr>
              <w:pStyle w:val="tableheading"/>
            </w:pPr>
            <w:r w:rsidRPr="00B46C8E">
              <w:t>Initiatives</w:t>
            </w:r>
          </w:p>
        </w:tc>
        <w:tc>
          <w:tcPr>
            <w:tcW w:w="6521" w:type="dxa"/>
            <w:shd w:val="clear" w:color="auto" w:fill="579305" w:themeFill="accent1"/>
          </w:tcPr>
          <w:p w14:paraId="1CD73D61" w14:textId="43C07E5F" w:rsidR="00B450E0" w:rsidRDefault="00B450E0" w:rsidP="00B450E0">
            <w:pPr>
              <w:pStyle w:val="tableheading"/>
            </w:pPr>
            <w:r w:rsidRPr="00B46C8E">
              <w:t>Suggested resources and tools</w:t>
            </w:r>
            <w:r>
              <w:t xml:space="preserve"> for field practitioners</w:t>
            </w:r>
          </w:p>
        </w:tc>
        <w:tc>
          <w:tcPr>
            <w:tcW w:w="6379" w:type="dxa"/>
            <w:shd w:val="clear" w:color="auto" w:fill="579305" w:themeFill="accent1"/>
          </w:tcPr>
          <w:p w14:paraId="13275F2D" w14:textId="2DF9B8A5" w:rsidR="00B450E0" w:rsidRDefault="00B450E0" w:rsidP="00B450E0">
            <w:pPr>
              <w:pStyle w:val="tableheading"/>
            </w:pPr>
            <w:r>
              <w:t>URL - Internet links</w:t>
            </w:r>
          </w:p>
        </w:tc>
      </w:tr>
      <w:tr w:rsidR="009F534E" w:rsidRPr="00A838D4" w14:paraId="728D385C" w14:textId="77777777" w:rsidTr="00065EB9">
        <w:trPr>
          <w:cantSplit/>
        </w:trPr>
        <w:tc>
          <w:tcPr>
            <w:tcW w:w="1809" w:type="dxa"/>
            <w:shd w:val="clear" w:color="auto" w:fill="auto"/>
          </w:tcPr>
          <w:p w14:paraId="34775C50" w14:textId="2FCE5518" w:rsidR="009F534E" w:rsidRPr="00A838D4" w:rsidRDefault="009F534E" w:rsidP="00A838D4">
            <w:pPr>
              <w:pStyle w:val="table2"/>
              <w:rPr>
                <w:b/>
              </w:rPr>
            </w:pPr>
            <w:r w:rsidRPr="00A838D4">
              <w:rPr>
                <w:b/>
              </w:rPr>
              <w:t>ACAPS</w:t>
            </w:r>
          </w:p>
        </w:tc>
        <w:tc>
          <w:tcPr>
            <w:tcW w:w="6521" w:type="dxa"/>
            <w:shd w:val="clear" w:color="auto" w:fill="auto"/>
          </w:tcPr>
          <w:p w14:paraId="621D3962" w14:textId="38D87636" w:rsidR="009F534E" w:rsidRPr="00A838D4" w:rsidRDefault="009F534E" w:rsidP="00A838D4">
            <w:pPr>
              <w:pStyle w:val="table2"/>
            </w:pPr>
            <w:r w:rsidRPr="00065EB9">
              <w:rPr>
                <w:b/>
              </w:rPr>
              <w:t>The Good Enough Guide on Assessment</w:t>
            </w:r>
            <w:r w:rsidRPr="00A838D4">
              <w:t xml:space="preserve"> (to be published)</w:t>
            </w:r>
          </w:p>
        </w:tc>
        <w:tc>
          <w:tcPr>
            <w:tcW w:w="6379" w:type="dxa"/>
            <w:shd w:val="clear" w:color="auto" w:fill="auto"/>
          </w:tcPr>
          <w:p w14:paraId="319D1722" w14:textId="58319831" w:rsidR="009F534E" w:rsidRPr="00A838D4" w:rsidRDefault="009F534E" w:rsidP="00A838D4">
            <w:pPr>
              <w:pStyle w:val="table2"/>
            </w:pPr>
            <w:r w:rsidRPr="00A838D4">
              <w:t>www.acaps.org</w:t>
            </w:r>
          </w:p>
        </w:tc>
      </w:tr>
      <w:tr w:rsidR="009F534E" w14:paraId="467F1F6F" w14:textId="77777777" w:rsidTr="00F776C2">
        <w:trPr>
          <w:cantSplit/>
        </w:trPr>
        <w:tc>
          <w:tcPr>
            <w:tcW w:w="1809" w:type="dxa"/>
            <w:shd w:val="clear" w:color="auto" w:fill="FAFFEE"/>
          </w:tcPr>
          <w:p w14:paraId="2843B718" w14:textId="793DDCB1" w:rsidR="009F534E" w:rsidRPr="00A838D4" w:rsidRDefault="009F534E" w:rsidP="00A838D4">
            <w:pPr>
              <w:pStyle w:val="table2"/>
              <w:rPr>
                <w:b/>
              </w:rPr>
            </w:pPr>
            <w:r w:rsidRPr="00A838D4">
              <w:rPr>
                <w:b/>
              </w:rPr>
              <w:t xml:space="preserve">ACAPS </w:t>
            </w:r>
          </w:p>
        </w:tc>
        <w:tc>
          <w:tcPr>
            <w:tcW w:w="6521" w:type="dxa"/>
            <w:shd w:val="clear" w:color="auto" w:fill="FAFFEE"/>
          </w:tcPr>
          <w:p w14:paraId="48D3D8E1" w14:textId="554858BA" w:rsidR="009F534E" w:rsidRDefault="009F534E" w:rsidP="00A838D4">
            <w:pPr>
              <w:pStyle w:val="table2"/>
            </w:pPr>
            <w:r w:rsidRPr="007E401E">
              <w:t>Profiling and Assess Resource KIT PARK providing resources on all stages of the IDP profiling and joint assessment processes.</w:t>
            </w:r>
          </w:p>
        </w:tc>
        <w:tc>
          <w:tcPr>
            <w:tcW w:w="6379" w:type="dxa"/>
            <w:shd w:val="clear" w:color="auto" w:fill="FAFFEE"/>
          </w:tcPr>
          <w:p w14:paraId="1F637B55" w14:textId="2911856F" w:rsidR="009F534E" w:rsidRDefault="0047294F" w:rsidP="00A838D4">
            <w:pPr>
              <w:pStyle w:val="table2"/>
            </w:pPr>
            <w:r w:rsidRPr="0047294F">
              <w:t>http://www.parkdatabase.org/</w:t>
            </w:r>
          </w:p>
        </w:tc>
      </w:tr>
      <w:tr w:rsidR="009F534E" w14:paraId="22355971" w14:textId="77777777" w:rsidTr="00065EB9">
        <w:trPr>
          <w:cantSplit/>
        </w:trPr>
        <w:tc>
          <w:tcPr>
            <w:tcW w:w="1809" w:type="dxa"/>
            <w:shd w:val="clear" w:color="auto" w:fill="auto"/>
          </w:tcPr>
          <w:p w14:paraId="15E5AE9B" w14:textId="5380BD19" w:rsidR="009F534E" w:rsidRPr="00A838D4" w:rsidRDefault="009F534E" w:rsidP="00A838D4">
            <w:pPr>
              <w:pStyle w:val="table2"/>
              <w:rPr>
                <w:b/>
              </w:rPr>
            </w:pPr>
            <w:r w:rsidRPr="00A838D4">
              <w:rPr>
                <w:b/>
              </w:rPr>
              <w:t xml:space="preserve">ACAPS </w:t>
            </w:r>
          </w:p>
        </w:tc>
        <w:tc>
          <w:tcPr>
            <w:tcW w:w="6521" w:type="dxa"/>
            <w:shd w:val="clear" w:color="auto" w:fill="auto"/>
          </w:tcPr>
          <w:p w14:paraId="27683C83" w14:textId="0CE346A5" w:rsidR="009F534E" w:rsidRDefault="009F534E" w:rsidP="00A838D4">
            <w:pPr>
              <w:pStyle w:val="table2"/>
            </w:pPr>
            <w:r w:rsidRPr="007E401E">
              <w:t>DNA: Disaster Needs Analysis is a desk study of crises, which presents estimates of scale, severity, risks, and (likely) impact of a disaster in a specific country or region.</w:t>
            </w:r>
          </w:p>
        </w:tc>
        <w:tc>
          <w:tcPr>
            <w:tcW w:w="6379" w:type="dxa"/>
            <w:shd w:val="clear" w:color="auto" w:fill="auto"/>
          </w:tcPr>
          <w:p w14:paraId="6FBF8A9B" w14:textId="0619E443" w:rsidR="009F534E" w:rsidRDefault="009F534E" w:rsidP="00A838D4">
            <w:pPr>
              <w:pStyle w:val="table2"/>
            </w:pPr>
            <w:r w:rsidRPr="007E401E">
              <w:t>http://www.acaps.org/en/disaster-needs-analysis</w:t>
            </w:r>
          </w:p>
        </w:tc>
      </w:tr>
      <w:tr w:rsidR="009F534E" w14:paraId="2E2AB0B7" w14:textId="77777777" w:rsidTr="00F776C2">
        <w:trPr>
          <w:cantSplit/>
        </w:trPr>
        <w:tc>
          <w:tcPr>
            <w:tcW w:w="1809" w:type="dxa"/>
            <w:shd w:val="clear" w:color="auto" w:fill="FAFFEE"/>
          </w:tcPr>
          <w:p w14:paraId="73B504B6" w14:textId="2A569A49" w:rsidR="009F534E" w:rsidRPr="00A838D4" w:rsidRDefault="009F534E" w:rsidP="00A838D4">
            <w:pPr>
              <w:pStyle w:val="table2"/>
              <w:rPr>
                <w:b/>
              </w:rPr>
            </w:pPr>
            <w:r w:rsidRPr="00A838D4">
              <w:rPr>
                <w:b/>
              </w:rPr>
              <w:t>ALNAP</w:t>
            </w:r>
          </w:p>
        </w:tc>
        <w:tc>
          <w:tcPr>
            <w:tcW w:w="6521" w:type="dxa"/>
            <w:shd w:val="clear" w:color="auto" w:fill="FAFFEE"/>
          </w:tcPr>
          <w:p w14:paraId="0282B0F5" w14:textId="5769A1FC" w:rsidR="009F534E" w:rsidRDefault="009F534E" w:rsidP="00A838D4">
            <w:pPr>
              <w:pStyle w:val="table2"/>
            </w:pPr>
            <w:r w:rsidRPr="007E401E">
              <w:t>State of the Humanitarian System</w:t>
            </w:r>
          </w:p>
        </w:tc>
        <w:tc>
          <w:tcPr>
            <w:tcW w:w="6379" w:type="dxa"/>
            <w:shd w:val="clear" w:color="auto" w:fill="FAFFEE"/>
          </w:tcPr>
          <w:p w14:paraId="16D96CAC" w14:textId="0A78149F" w:rsidR="009F534E" w:rsidRDefault="009F534E" w:rsidP="00A838D4">
            <w:pPr>
              <w:pStyle w:val="table2"/>
            </w:pPr>
            <w:r w:rsidRPr="007E401E">
              <w:t>www.alnap.org</w:t>
            </w:r>
          </w:p>
        </w:tc>
      </w:tr>
      <w:tr w:rsidR="009F534E" w14:paraId="4FC4C64C" w14:textId="77777777" w:rsidTr="00065EB9">
        <w:trPr>
          <w:cantSplit/>
        </w:trPr>
        <w:tc>
          <w:tcPr>
            <w:tcW w:w="1809" w:type="dxa"/>
            <w:shd w:val="clear" w:color="auto" w:fill="auto"/>
          </w:tcPr>
          <w:p w14:paraId="36CA3918" w14:textId="3BBBC398" w:rsidR="009F534E" w:rsidRPr="00A838D4" w:rsidRDefault="009F534E" w:rsidP="00A838D4">
            <w:pPr>
              <w:pStyle w:val="table2"/>
              <w:rPr>
                <w:b/>
              </w:rPr>
            </w:pPr>
            <w:r w:rsidRPr="00A838D4">
              <w:rPr>
                <w:b/>
              </w:rPr>
              <w:t xml:space="preserve">ALNAP </w:t>
            </w:r>
          </w:p>
        </w:tc>
        <w:tc>
          <w:tcPr>
            <w:tcW w:w="6521" w:type="dxa"/>
            <w:shd w:val="clear" w:color="auto" w:fill="auto"/>
          </w:tcPr>
          <w:p w14:paraId="06FD14AE" w14:textId="2D4B8206" w:rsidR="009F534E" w:rsidRDefault="009F534E" w:rsidP="00A838D4">
            <w:pPr>
              <w:pStyle w:val="table2"/>
            </w:pPr>
            <w:r w:rsidRPr="007E401E">
              <w:t>Case studies such as ‘We are committed to listen to you’ on humanitarian feedback mechanism.</w:t>
            </w:r>
          </w:p>
        </w:tc>
        <w:tc>
          <w:tcPr>
            <w:tcW w:w="6379" w:type="dxa"/>
            <w:shd w:val="clear" w:color="auto" w:fill="auto"/>
          </w:tcPr>
          <w:p w14:paraId="7A2DF2B3" w14:textId="44C7F7EC" w:rsidR="009F534E" w:rsidRDefault="009F534E" w:rsidP="00A838D4">
            <w:pPr>
              <w:pStyle w:val="table2"/>
            </w:pPr>
            <w:r w:rsidRPr="007E401E">
              <w:t>http://www.alnap.org/resource/8851.aspx</w:t>
            </w:r>
          </w:p>
        </w:tc>
      </w:tr>
      <w:tr w:rsidR="009F534E" w14:paraId="02E6184F" w14:textId="77777777" w:rsidTr="00F776C2">
        <w:trPr>
          <w:cantSplit/>
        </w:trPr>
        <w:tc>
          <w:tcPr>
            <w:tcW w:w="1809" w:type="dxa"/>
            <w:shd w:val="clear" w:color="auto" w:fill="FAFFEE"/>
          </w:tcPr>
          <w:p w14:paraId="4AF82275" w14:textId="467EE71C" w:rsidR="009F534E" w:rsidRPr="00A838D4" w:rsidRDefault="009F534E" w:rsidP="00A838D4">
            <w:pPr>
              <w:pStyle w:val="table2"/>
              <w:rPr>
                <w:b/>
              </w:rPr>
            </w:pPr>
            <w:r w:rsidRPr="00A838D4">
              <w:rPr>
                <w:b/>
              </w:rPr>
              <w:t xml:space="preserve">ALNAP </w:t>
            </w:r>
          </w:p>
        </w:tc>
        <w:tc>
          <w:tcPr>
            <w:tcW w:w="6521" w:type="dxa"/>
            <w:shd w:val="clear" w:color="auto" w:fill="FAFFEE"/>
          </w:tcPr>
          <w:p w14:paraId="2C4EBBF8" w14:textId="0D74F6DD" w:rsidR="009F534E" w:rsidRDefault="009F534E" w:rsidP="00A838D4">
            <w:pPr>
              <w:pStyle w:val="table2"/>
            </w:pPr>
            <w:r w:rsidRPr="007E401E">
              <w:t>ERD Evaluative Report Database contains almost 1,000 evaluations from which to learn.</w:t>
            </w:r>
          </w:p>
        </w:tc>
        <w:tc>
          <w:tcPr>
            <w:tcW w:w="6379" w:type="dxa"/>
            <w:shd w:val="clear" w:color="auto" w:fill="FAFFEE"/>
          </w:tcPr>
          <w:p w14:paraId="56FB5483" w14:textId="5B2F4005" w:rsidR="009F534E" w:rsidRDefault="009F534E" w:rsidP="00A838D4">
            <w:pPr>
              <w:pStyle w:val="table2"/>
            </w:pPr>
            <w:r w:rsidRPr="007E401E">
              <w:t>http://www.alnap.org/resources/results.aspx?type=22</w:t>
            </w:r>
          </w:p>
        </w:tc>
      </w:tr>
      <w:tr w:rsidR="009F534E" w14:paraId="21B1F737" w14:textId="77777777" w:rsidTr="00065EB9">
        <w:trPr>
          <w:cantSplit/>
        </w:trPr>
        <w:tc>
          <w:tcPr>
            <w:tcW w:w="1809" w:type="dxa"/>
            <w:shd w:val="clear" w:color="auto" w:fill="auto"/>
          </w:tcPr>
          <w:p w14:paraId="503F45B2" w14:textId="3EB7E173" w:rsidR="009F534E" w:rsidRPr="00A838D4" w:rsidRDefault="009F534E" w:rsidP="00A838D4">
            <w:pPr>
              <w:pStyle w:val="table2"/>
              <w:rPr>
                <w:b/>
              </w:rPr>
            </w:pPr>
            <w:r w:rsidRPr="00A838D4">
              <w:rPr>
                <w:b/>
              </w:rPr>
              <w:t xml:space="preserve">ALNAP </w:t>
            </w:r>
          </w:p>
        </w:tc>
        <w:tc>
          <w:tcPr>
            <w:tcW w:w="6521" w:type="dxa"/>
            <w:shd w:val="clear" w:color="auto" w:fill="auto"/>
          </w:tcPr>
          <w:p w14:paraId="2661A3F2" w14:textId="2F50C641" w:rsidR="009F534E" w:rsidRDefault="009F534E" w:rsidP="00A838D4">
            <w:pPr>
              <w:pStyle w:val="table2"/>
            </w:pPr>
            <w:r w:rsidRPr="007E401E">
              <w:t>Lessons learned papers published by ALNAP at the beginning of an emergency are a great tool for field practitioners, summarizing key lessons drawn from the evaluation database and other sources.</w:t>
            </w:r>
          </w:p>
        </w:tc>
        <w:tc>
          <w:tcPr>
            <w:tcW w:w="6379" w:type="dxa"/>
            <w:shd w:val="clear" w:color="auto" w:fill="auto"/>
          </w:tcPr>
          <w:p w14:paraId="18A8E04F" w14:textId="6D05924D" w:rsidR="009F534E" w:rsidRDefault="000047A2" w:rsidP="00A838D4">
            <w:pPr>
              <w:pStyle w:val="table2"/>
            </w:pPr>
            <w:hyperlink r:id="rId21" w:history="1">
              <w:r w:rsidR="00CD5306" w:rsidRPr="00CD5306">
                <w:rPr>
                  <w:rStyle w:val="Hyperlink"/>
                </w:rPr>
                <w:t>http://www.alnap.org/what-we-do/lessons</w:t>
              </w:r>
            </w:hyperlink>
          </w:p>
        </w:tc>
      </w:tr>
      <w:tr w:rsidR="009F534E" w14:paraId="41A74553" w14:textId="77777777" w:rsidTr="00F776C2">
        <w:trPr>
          <w:cantSplit/>
        </w:trPr>
        <w:tc>
          <w:tcPr>
            <w:tcW w:w="1809" w:type="dxa"/>
            <w:shd w:val="clear" w:color="auto" w:fill="FAFFEE"/>
          </w:tcPr>
          <w:p w14:paraId="541C3EE7" w14:textId="4E4850F8" w:rsidR="009F534E" w:rsidRPr="00A838D4" w:rsidRDefault="009F534E" w:rsidP="00A838D4">
            <w:pPr>
              <w:pStyle w:val="table2"/>
              <w:rPr>
                <w:b/>
              </w:rPr>
            </w:pPr>
            <w:r w:rsidRPr="00A838D4">
              <w:rPr>
                <w:b/>
              </w:rPr>
              <w:t xml:space="preserve">ALNAP </w:t>
            </w:r>
          </w:p>
        </w:tc>
        <w:tc>
          <w:tcPr>
            <w:tcW w:w="6521" w:type="dxa"/>
            <w:shd w:val="clear" w:color="auto" w:fill="FAFFEE"/>
          </w:tcPr>
          <w:p w14:paraId="5AA607F2" w14:textId="4757173B" w:rsidR="009F534E" w:rsidRDefault="009F534E" w:rsidP="00A838D4">
            <w:pPr>
              <w:pStyle w:val="table2"/>
            </w:pPr>
            <w:r w:rsidRPr="007E401E">
              <w:t>ALNAP's new Innovations Case Studies series showcases innovative solutions to problems faced in humanitarian responses.</w:t>
            </w:r>
          </w:p>
        </w:tc>
        <w:tc>
          <w:tcPr>
            <w:tcW w:w="6379" w:type="dxa"/>
            <w:shd w:val="clear" w:color="auto" w:fill="FAFFEE"/>
          </w:tcPr>
          <w:p w14:paraId="2E8BBB90" w14:textId="732303CE" w:rsidR="009F534E" w:rsidRDefault="009F534E" w:rsidP="00A838D4">
            <w:pPr>
              <w:pStyle w:val="table2"/>
            </w:pPr>
            <w:r w:rsidRPr="007E401E">
              <w:t>http://www.alnap.org/resources/innovations</w:t>
            </w:r>
          </w:p>
        </w:tc>
      </w:tr>
      <w:tr w:rsidR="009F534E" w14:paraId="77710D0E" w14:textId="77777777" w:rsidTr="00065EB9">
        <w:trPr>
          <w:cantSplit/>
        </w:trPr>
        <w:tc>
          <w:tcPr>
            <w:tcW w:w="1809" w:type="dxa"/>
            <w:shd w:val="clear" w:color="auto" w:fill="auto"/>
          </w:tcPr>
          <w:p w14:paraId="35068533" w14:textId="2155D9B8" w:rsidR="009F534E" w:rsidRPr="00A838D4" w:rsidRDefault="009F534E" w:rsidP="00A838D4">
            <w:pPr>
              <w:pStyle w:val="table2"/>
              <w:rPr>
                <w:b/>
              </w:rPr>
            </w:pPr>
            <w:r w:rsidRPr="00A838D4">
              <w:rPr>
                <w:b/>
              </w:rPr>
              <w:t xml:space="preserve">ALNAP </w:t>
            </w:r>
          </w:p>
        </w:tc>
        <w:tc>
          <w:tcPr>
            <w:tcW w:w="6521" w:type="dxa"/>
            <w:shd w:val="clear" w:color="auto" w:fill="auto"/>
          </w:tcPr>
          <w:p w14:paraId="5630B9DC" w14:textId="758E2043" w:rsidR="009F534E" w:rsidRDefault="009F534E" w:rsidP="00A838D4">
            <w:pPr>
              <w:pStyle w:val="table2"/>
            </w:pPr>
            <w:r w:rsidRPr="007E401E">
              <w:t>Pilot Guide on Evaluation of Humanitarian Action</w:t>
            </w:r>
          </w:p>
        </w:tc>
        <w:tc>
          <w:tcPr>
            <w:tcW w:w="6379" w:type="dxa"/>
            <w:shd w:val="clear" w:color="auto" w:fill="auto"/>
          </w:tcPr>
          <w:p w14:paraId="26571FF0" w14:textId="6878A1EC" w:rsidR="009F534E" w:rsidRDefault="009F534E" w:rsidP="00A838D4">
            <w:pPr>
              <w:pStyle w:val="table2"/>
            </w:pPr>
            <w:r w:rsidRPr="007E401E">
              <w:t>http://www.alnap.org/resource/8229</w:t>
            </w:r>
          </w:p>
        </w:tc>
      </w:tr>
      <w:tr w:rsidR="009F534E" w14:paraId="31996C0A" w14:textId="77777777" w:rsidTr="00F776C2">
        <w:trPr>
          <w:cantSplit/>
        </w:trPr>
        <w:tc>
          <w:tcPr>
            <w:tcW w:w="1809" w:type="dxa"/>
            <w:shd w:val="clear" w:color="auto" w:fill="FAFFEE"/>
          </w:tcPr>
          <w:p w14:paraId="54ECA5FC" w14:textId="76E8D70A" w:rsidR="009F534E" w:rsidRPr="00A838D4" w:rsidRDefault="009F534E" w:rsidP="00A838D4">
            <w:pPr>
              <w:pStyle w:val="table2"/>
              <w:rPr>
                <w:b/>
              </w:rPr>
            </w:pPr>
            <w:r w:rsidRPr="00A838D4">
              <w:rPr>
                <w:b/>
              </w:rPr>
              <w:t>ALNAP</w:t>
            </w:r>
          </w:p>
        </w:tc>
        <w:tc>
          <w:tcPr>
            <w:tcW w:w="6521" w:type="dxa"/>
            <w:shd w:val="clear" w:color="auto" w:fill="FAFFEE"/>
          </w:tcPr>
          <w:p w14:paraId="15A8A564" w14:textId="5D8E8195" w:rsidR="009F534E" w:rsidRDefault="009F534E" w:rsidP="00A838D4">
            <w:pPr>
              <w:pStyle w:val="table2"/>
            </w:pPr>
            <w:r w:rsidRPr="007E401E">
              <w:t>Practitioners' guide to monitoring, evaluation, accountability and learning in emergencies.</w:t>
            </w:r>
          </w:p>
        </w:tc>
        <w:tc>
          <w:tcPr>
            <w:tcW w:w="6379" w:type="dxa"/>
            <w:shd w:val="clear" w:color="auto" w:fill="FAFFEE"/>
          </w:tcPr>
          <w:p w14:paraId="01DDB5F0" w14:textId="46E6C705" w:rsidR="009F534E" w:rsidRDefault="00CD5306" w:rsidP="00A838D4">
            <w:pPr>
              <w:pStyle w:val="table2"/>
            </w:pPr>
            <w:r w:rsidRPr="00CD5306">
              <w:t>http://www.alnap.org/resource/9200</w:t>
            </w:r>
          </w:p>
        </w:tc>
      </w:tr>
      <w:tr w:rsidR="0082448F" w14:paraId="35CE61AC" w14:textId="77777777" w:rsidTr="00F776C2">
        <w:trPr>
          <w:cantSplit/>
        </w:trPr>
        <w:tc>
          <w:tcPr>
            <w:tcW w:w="1809" w:type="dxa"/>
            <w:shd w:val="clear" w:color="auto" w:fill="FAFFEE"/>
          </w:tcPr>
          <w:p w14:paraId="28BFEE9D" w14:textId="4985E5CA" w:rsidR="0082448F" w:rsidRPr="00A838D4" w:rsidRDefault="0082448F" w:rsidP="00A838D4">
            <w:pPr>
              <w:pStyle w:val="table2"/>
              <w:rPr>
                <w:b/>
              </w:rPr>
            </w:pPr>
            <w:r>
              <w:rPr>
                <w:b/>
              </w:rPr>
              <w:t>The CHS Alliance</w:t>
            </w:r>
          </w:p>
        </w:tc>
        <w:tc>
          <w:tcPr>
            <w:tcW w:w="6521" w:type="dxa"/>
            <w:shd w:val="clear" w:color="auto" w:fill="FAFFEE"/>
          </w:tcPr>
          <w:p w14:paraId="6631BC33" w14:textId="30CD5C36" w:rsidR="0082448F" w:rsidRPr="007E401E" w:rsidRDefault="0082448F" w:rsidP="00A838D4">
            <w:pPr>
              <w:pStyle w:val="table2"/>
            </w:pPr>
            <w:r>
              <w:t>The CHS Alliance website</w:t>
            </w:r>
          </w:p>
        </w:tc>
        <w:tc>
          <w:tcPr>
            <w:tcW w:w="6379" w:type="dxa"/>
            <w:shd w:val="clear" w:color="auto" w:fill="FAFFEE"/>
          </w:tcPr>
          <w:p w14:paraId="1D0DCF17" w14:textId="1ECBCD23" w:rsidR="0082448F" w:rsidRPr="00CD5306" w:rsidRDefault="0082448F" w:rsidP="00A838D4">
            <w:pPr>
              <w:pStyle w:val="table2"/>
            </w:pPr>
            <w:r w:rsidRPr="0082448F">
              <w:t>http://www.chsalliance.org/</w:t>
            </w:r>
          </w:p>
        </w:tc>
      </w:tr>
      <w:tr w:rsidR="009F534E" w14:paraId="0AF95F02" w14:textId="77777777" w:rsidTr="00065EB9">
        <w:trPr>
          <w:cantSplit/>
        </w:trPr>
        <w:tc>
          <w:tcPr>
            <w:tcW w:w="1809" w:type="dxa"/>
            <w:shd w:val="clear" w:color="auto" w:fill="auto"/>
          </w:tcPr>
          <w:p w14:paraId="72BBCBC3" w14:textId="1C1A777D" w:rsidR="009F534E" w:rsidRPr="00A838D4" w:rsidRDefault="009F534E" w:rsidP="00A838D4">
            <w:pPr>
              <w:pStyle w:val="table2"/>
              <w:rPr>
                <w:b/>
              </w:rPr>
            </w:pPr>
            <w:r w:rsidRPr="00A838D4">
              <w:rPr>
                <w:b/>
              </w:rPr>
              <w:t>CPMS</w:t>
            </w:r>
          </w:p>
        </w:tc>
        <w:tc>
          <w:tcPr>
            <w:tcW w:w="6521" w:type="dxa"/>
            <w:shd w:val="clear" w:color="auto" w:fill="auto"/>
          </w:tcPr>
          <w:p w14:paraId="2984F63F" w14:textId="3E66B13B" w:rsidR="009F534E" w:rsidRPr="00065EB9" w:rsidRDefault="009F534E" w:rsidP="00A838D4">
            <w:pPr>
              <w:pStyle w:val="table2"/>
              <w:rPr>
                <w:b/>
              </w:rPr>
            </w:pPr>
            <w:r w:rsidRPr="00065EB9">
              <w:rPr>
                <w:b/>
              </w:rPr>
              <w:t>Minimum Standards for Child Protection in Humanitarian Action</w:t>
            </w:r>
          </w:p>
        </w:tc>
        <w:tc>
          <w:tcPr>
            <w:tcW w:w="6379" w:type="dxa"/>
            <w:shd w:val="clear" w:color="auto" w:fill="auto"/>
          </w:tcPr>
          <w:p w14:paraId="6CE792D8" w14:textId="04A9EE77" w:rsidR="009F534E" w:rsidRDefault="009F534E" w:rsidP="00A838D4">
            <w:pPr>
              <w:pStyle w:val="table2"/>
            </w:pPr>
            <w:r w:rsidRPr="007E401E">
              <w:t>http://cpwg.net</w:t>
            </w:r>
          </w:p>
        </w:tc>
      </w:tr>
      <w:tr w:rsidR="009F534E" w14:paraId="2E88EED7" w14:textId="77777777" w:rsidTr="00F776C2">
        <w:trPr>
          <w:cantSplit/>
        </w:trPr>
        <w:tc>
          <w:tcPr>
            <w:tcW w:w="1809" w:type="dxa"/>
            <w:shd w:val="clear" w:color="auto" w:fill="FAFFEE"/>
          </w:tcPr>
          <w:p w14:paraId="2A1C1100" w14:textId="062E1065" w:rsidR="009F534E" w:rsidRPr="00A838D4" w:rsidRDefault="009F534E" w:rsidP="00A838D4">
            <w:pPr>
              <w:pStyle w:val="table2"/>
              <w:rPr>
                <w:b/>
              </w:rPr>
            </w:pPr>
            <w:r w:rsidRPr="00A838D4">
              <w:rPr>
                <w:b/>
              </w:rPr>
              <w:t>CPMS</w:t>
            </w:r>
          </w:p>
        </w:tc>
        <w:tc>
          <w:tcPr>
            <w:tcW w:w="6521" w:type="dxa"/>
            <w:shd w:val="clear" w:color="auto" w:fill="FAFFEE"/>
          </w:tcPr>
          <w:p w14:paraId="20D0B174" w14:textId="77777777" w:rsidR="009F534E" w:rsidRDefault="009F534E" w:rsidP="00A838D4">
            <w:pPr>
              <w:pStyle w:val="table2"/>
            </w:pPr>
            <w:r w:rsidRPr="007E401E">
              <w:t xml:space="preserve">Tools and resources linked to the Minimum Standards for Child Protection in Humanitarian Action. </w:t>
            </w:r>
          </w:p>
          <w:p w14:paraId="11C503FF" w14:textId="01347E32" w:rsidR="00A838D4" w:rsidRDefault="00A838D4" w:rsidP="00A838D4">
            <w:pPr>
              <w:pStyle w:val="table2"/>
            </w:pPr>
            <w:r w:rsidRPr="007E401E">
              <w:t>Video presenting the handbook.</w:t>
            </w:r>
          </w:p>
        </w:tc>
        <w:tc>
          <w:tcPr>
            <w:tcW w:w="6379" w:type="dxa"/>
            <w:shd w:val="clear" w:color="auto" w:fill="FAFFEE"/>
          </w:tcPr>
          <w:p w14:paraId="4E36FCB1" w14:textId="1171F0D7" w:rsidR="00A838D4" w:rsidRDefault="00EF0BD0" w:rsidP="00A838D4">
            <w:pPr>
              <w:pStyle w:val="table2"/>
            </w:pPr>
            <w:r w:rsidRPr="00EF0BD0">
              <w:t xml:space="preserve">http://cpwg.net/resource-collections/ </w:t>
            </w:r>
            <w:r w:rsidR="00A838D4" w:rsidRPr="007E401E">
              <w:t>http://www.youtube.com/watch?v=pEaNwDtQRwI#t=27</w:t>
            </w:r>
          </w:p>
        </w:tc>
      </w:tr>
      <w:tr w:rsidR="009F534E" w14:paraId="5F0B066B" w14:textId="77777777" w:rsidTr="00065EB9">
        <w:trPr>
          <w:cantSplit/>
        </w:trPr>
        <w:tc>
          <w:tcPr>
            <w:tcW w:w="1809" w:type="dxa"/>
            <w:shd w:val="clear" w:color="auto" w:fill="auto"/>
          </w:tcPr>
          <w:p w14:paraId="44F9D47E" w14:textId="2F495C7E" w:rsidR="009F534E" w:rsidRPr="00A838D4" w:rsidRDefault="009F534E" w:rsidP="00A838D4">
            <w:pPr>
              <w:pStyle w:val="table2"/>
              <w:rPr>
                <w:b/>
              </w:rPr>
            </w:pPr>
            <w:r w:rsidRPr="00A838D4">
              <w:rPr>
                <w:b/>
              </w:rPr>
              <w:t>ECB</w:t>
            </w:r>
          </w:p>
        </w:tc>
        <w:tc>
          <w:tcPr>
            <w:tcW w:w="6521" w:type="dxa"/>
            <w:shd w:val="clear" w:color="auto" w:fill="auto"/>
          </w:tcPr>
          <w:p w14:paraId="3F59B892" w14:textId="2C6E1C86" w:rsidR="009F534E" w:rsidRPr="00065EB9" w:rsidRDefault="009F534E" w:rsidP="00A838D4">
            <w:pPr>
              <w:pStyle w:val="table2"/>
              <w:rPr>
                <w:b/>
              </w:rPr>
            </w:pPr>
            <w:r w:rsidRPr="00065EB9">
              <w:rPr>
                <w:b/>
              </w:rPr>
              <w:t>The Good Enough Guide</w:t>
            </w:r>
          </w:p>
        </w:tc>
        <w:tc>
          <w:tcPr>
            <w:tcW w:w="6379" w:type="dxa"/>
            <w:shd w:val="clear" w:color="auto" w:fill="auto"/>
          </w:tcPr>
          <w:p w14:paraId="700A87DC" w14:textId="174916DA" w:rsidR="009F534E" w:rsidRDefault="009F534E" w:rsidP="00A838D4">
            <w:pPr>
              <w:pStyle w:val="table2"/>
            </w:pPr>
            <w:r w:rsidRPr="007E401E">
              <w:t>www.ecbproject.org</w:t>
            </w:r>
          </w:p>
        </w:tc>
      </w:tr>
      <w:tr w:rsidR="009F534E" w14:paraId="20E11802" w14:textId="77777777" w:rsidTr="00F776C2">
        <w:trPr>
          <w:cantSplit/>
        </w:trPr>
        <w:tc>
          <w:tcPr>
            <w:tcW w:w="1809" w:type="dxa"/>
            <w:shd w:val="clear" w:color="auto" w:fill="FAFFEE"/>
          </w:tcPr>
          <w:p w14:paraId="41851056" w14:textId="69FE5853" w:rsidR="009F534E" w:rsidRPr="00A838D4" w:rsidRDefault="009F534E" w:rsidP="00A838D4">
            <w:pPr>
              <w:pStyle w:val="table2"/>
              <w:rPr>
                <w:b/>
              </w:rPr>
            </w:pPr>
            <w:r w:rsidRPr="00A838D4">
              <w:rPr>
                <w:b/>
              </w:rPr>
              <w:t>ECB</w:t>
            </w:r>
          </w:p>
        </w:tc>
        <w:tc>
          <w:tcPr>
            <w:tcW w:w="6521" w:type="dxa"/>
            <w:shd w:val="clear" w:color="auto" w:fill="FAFFEE"/>
          </w:tcPr>
          <w:p w14:paraId="28D090C1" w14:textId="5D8F4BA8" w:rsidR="009F534E" w:rsidRDefault="009F534E" w:rsidP="00A838D4">
            <w:pPr>
              <w:pStyle w:val="table2"/>
            </w:pPr>
            <w:r w:rsidRPr="007E401E">
              <w:t>Towards Resilience</w:t>
            </w:r>
          </w:p>
        </w:tc>
        <w:tc>
          <w:tcPr>
            <w:tcW w:w="6379" w:type="dxa"/>
            <w:shd w:val="clear" w:color="auto" w:fill="FAFFEE"/>
          </w:tcPr>
          <w:p w14:paraId="644E09F6" w14:textId="5D564E43" w:rsidR="009F534E" w:rsidRDefault="009F534E" w:rsidP="00A838D4">
            <w:pPr>
              <w:pStyle w:val="table2"/>
            </w:pPr>
            <w:r w:rsidRPr="007E401E">
              <w:t>http://www.ecbproject.org/new-practitioners-guide-to-disaster-risk-reduction-drr/practitioners-guide-to-drr--cca</w:t>
            </w:r>
          </w:p>
        </w:tc>
      </w:tr>
      <w:tr w:rsidR="009F534E" w14:paraId="5970D339" w14:textId="77777777" w:rsidTr="00065EB9">
        <w:trPr>
          <w:cantSplit/>
        </w:trPr>
        <w:tc>
          <w:tcPr>
            <w:tcW w:w="1809" w:type="dxa"/>
            <w:shd w:val="clear" w:color="auto" w:fill="auto"/>
          </w:tcPr>
          <w:p w14:paraId="31B3A6DE" w14:textId="53053F33" w:rsidR="009F534E" w:rsidRPr="00A838D4" w:rsidRDefault="009F534E" w:rsidP="00A838D4">
            <w:pPr>
              <w:pStyle w:val="table2"/>
              <w:rPr>
                <w:b/>
              </w:rPr>
            </w:pPr>
            <w:r w:rsidRPr="00A838D4">
              <w:rPr>
                <w:b/>
              </w:rPr>
              <w:lastRenderedPageBreak/>
              <w:t>ECB</w:t>
            </w:r>
          </w:p>
        </w:tc>
        <w:tc>
          <w:tcPr>
            <w:tcW w:w="6521" w:type="dxa"/>
            <w:shd w:val="clear" w:color="auto" w:fill="auto"/>
          </w:tcPr>
          <w:p w14:paraId="5415545C" w14:textId="0B565FB9" w:rsidR="009F534E" w:rsidRDefault="009F534E" w:rsidP="00A838D4">
            <w:pPr>
              <w:pStyle w:val="table2"/>
            </w:pPr>
            <w:r w:rsidRPr="007E401E">
              <w:t>Download posters and a leaflet that you can adapt to your projects to communicate about accountability with your staff and the communities.</w:t>
            </w:r>
          </w:p>
        </w:tc>
        <w:tc>
          <w:tcPr>
            <w:tcW w:w="6379" w:type="dxa"/>
            <w:shd w:val="clear" w:color="auto" w:fill="auto"/>
          </w:tcPr>
          <w:p w14:paraId="515232B9" w14:textId="0BA2E7AB" w:rsidR="009F534E" w:rsidRDefault="009F534E" w:rsidP="00A838D4">
            <w:pPr>
              <w:pStyle w:val="table2"/>
            </w:pPr>
            <w:r w:rsidRPr="007E401E">
              <w:t>http://www.ecbproject.org/training-and-communication-materials/training-and-communication-materials</w:t>
            </w:r>
          </w:p>
        </w:tc>
      </w:tr>
      <w:tr w:rsidR="009F534E" w14:paraId="36AC145F" w14:textId="77777777" w:rsidTr="00F776C2">
        <w:trPr>
          <w:cantSplit/>
        </w:trPr>
        <w:tc>
          <w:tcPr>
            <w:tcW w:w="1809" w:type="dxa"/>
            <w:shd w:val="clear" w:color="auto" w:fill="FAFFEE"/>
          </w:tcPr>
          <w:p w14:paraId="72E77EB7" w14:textId="039E4C17" w:rsidR="009F534E" w:rsidRPr="00A838D4" w:rsidRDefault="009F534E" w:rsidP="00A838D4">
            <w:pPr>
              <w:pStyle w:val="table2"/>
              <w:rPr>
                <w:b/>
              </w:rPr>
            </w:pPr>
            <w:proofErr w:type="spellStart"/>
            <w:r w:rsidRPr="00A838D4">
              <w:rPr>
                <w:b/>
              </w:rPr>
              <w:t>Groupe</w:t>
            </w:r>
            <w:proofErr w:type="spellEnd"/>
            <w:r w:rsidRPr="00A838D4">
              <w:rPr>
                <w:b/>
              </w:rPr>
              <w:t xml:space="preserve"> URD</w:t>
            </w:r>
          </w:p>
        </w:tc>
        <w:tc>
          <w:tcPr>
            <w:tcW w:w="6521" w:type="dxa"/>
            <w:shd w:val="clear" w:color="auto" w:fill="FAFFEE"/>
          </w:tcPr>
          <w:p w14:paraId="35F5256C" w14:textId="6AD9ADF9" w:rsidR="009F534E" w:rsidRDefault="009F534E" w:rsidP="00A838D4">
            <w:pPr>
              <w:pStyle w:val="table2"/>
            </w:pPr>
            <w:proofErr w:type="spellStart"/>
            <w:r w:rsidRPr="007E401E">
              <w:t>Compas</w:t>
            </w:r>
            <w:proofErr w:type="spellEnd"/>
            <w:r w:rsidRPr="007E401E">
              <w:t xml:space="preserve"> Quality board: overview of the key questions to ask yourself at each stage of the project cycle, towards continuous improvement of quality.</w:t>
            </w:r>
          </w:p>
        </w:tc>
        <w:tc>
          <w:tcPr>
            <w:tcW w:w="6379" w:type="dxa"/>
            <w:shd w:val="clear" w:color="auto" w:fill="FAFFEE"/>
          </w:tcPr>
          <w:p w14:paraId="18A96C4A" w14:textId="3BF41C53" w:rsidR="009F534E" w:rsidRDefault="009F534E" w:rsidP="00A838D4">
            <w:pPr>
              <w:pStyle w:val="table2"/>
            </w:pPr>
            <w:r w:rsidRPr="007E401E">
              <w:t>http://www.compasqualite.org/en/compas-method/supports-compas-method.php</w:t>
            </w:r>
          </w:p>
        </w:tc>
      </w:tr>
      <w:tr w:rsidR="009F534E" w14:paraId="1EFA95D3" w14:textId="77777777" w:rsidTr="00065EB9">
        <w:trPr>
          <w:cantSplit/>
        </w:trPr>
        <w:tc>
          <w:tcPr>
            <w:tcW w:w="1809" w:type="dxa"/>
            <w:shd w:val="clear" w:color="auto" w:fill="auto"/>
          </w:tcPr>
          <w:p w14:paraId="6A51ECCF" w14:textId="1EEF612A" w:rsidR="009F534E" w:rsidRPr="00A838D4" w:rsidRDefault="009F534E" w:rsidP="00A838D4">
            <w:pPr>
              <w:pStyle w:val="table2"/>
              <w:rPr>
                <w:b/>
              </w:rPr>
            </w:pPr>
            <w:proofErr w:type="spellStart"/>
            <w:r w:rsidRPr="00A838D4">
              <w:rPr>
                <w:b/>
              </w:rPr>
              <w:t>Groupe</w:t>
            </w:r>
            <w:proofErr w:type="spellEnd"/>
            <w:r w:rsidRPr="00A838D4">
              <w:rPr>
                <w:b/>
              </w:rPr>
              <w:t xml:space="preserve"> URD</w:t>
            </w:r>
          </w:p>
        </w:tc>
        <w:tc>
          <w:tcPr>
            <w:tcW w:w="6521" w:type="dxa"/>
            <w:shd w:val="clear" w:color="auto" w:fill="auto"/>
          </w:tcPr>
          <w:p w14:paraId="63F6BFFA" w14:textId="606F46E5" w:rsidR="009F534E" w:rsidRPr="00065EB9" w:rsidRDefault="009F534E" w:rsidP="00A838D4">
            <w:pPr>
              <w:pStyle w:val="table2"/>
              <w:rPr>
                <w:b/>
              </w:rPr>
            </w:pPr>
            <w:r w:rsidRPr="00065EB9">
              <w:rPr>
                <w:b/>
              </w:rPr>
              <w:t>The Participation handbook</w:t>
            </w:r>
          </w:p>
        </w:tc>
        <w:tc>
          <w:tcPr>
            <w:tcW w:w="6379" w:type="dxa"/>
            <w:shd w:val="clear" w:color="auto" w:fill="auto"/>
          </w:tcPr>
          <w:p w14:paraId="0C2FC08D" w14:textId="27FFB9B3" w:rsidR="009F534E" w:rsidRDefault="009F534E" w:rsidP="00A838D4">
            <w:pPr>
              <w:pStyle w:val="table2"/>
            </w:pPr>
            <w:r w:rsidRPr="007E401E">
              <w:t>http://www.urd.org/Participation-Handbook</w:t>
            </w:r>
          </w:p>
        </w:tc>
      </w:tr>
      <w:tr w:rsidR="009F534E" w14:paraId="350DE2BF" w14:textId="77777777" w:rsidTr="00F776C2">
        <w:trPr>
          <w:cantSplit/>
        </w:trPr>
        <w:tc>
          <w:tcPr>
            <w:tcW w:w="1809" w:type="dxa"/>
            <w:shd w:val="clear" w:color="auto" w:fill="FAFFEE"/>
          </w:tcPr>
          <w:p w14:paraId="2CFF94A9" w14:textId="4033CBEE" w:rsidR="009F534E" w:rsidRPr="00A838D4" w:rsidRDefault="009F534E" w:rsidP="00A838D4">
            <w:pPr>
              <w:pStyle w:val="table2"/>
              <w:rPr>
                <w:b/>
              </w:rPr>
            </w:pPr>
            <w:r w:rsidRPr="00A838D4">
              <w:rPr>
                <w:b/>
              </w:rPr>
              <w:t>HI</w:t>
            </w:r>
          </w:p>
        </w:tc>
        <w:tc>
          <w:tcPr>
            <w:tcW w:w="6521" w:type="dxa"/>
            <w:shd w:val="clear" w:color="auto" w:fill="FAFFEE"/>
          </w:tcPr>
          <w:p w14:paraId="63F6EBE9" w14:textId="1E23494C" w:rsidR="009F534E" w:rsidRDefault="009F534E" w:rsidP="00A838D4">
            <w:pPr>
              <w:pStyle w:val="table2"/>
            </w:pPr>
            <w:r w:rsidRPr="007E401E">
              <w:t>Disability checklist for emergency response</w:t>
            </w:r>
          </w:p>
        </w:tc>
        <w:tc>
          <w:tcPr>
            <w:tcW w:w="6379" w:type="dxa"/>
            <w:shd w:val="clear" w:color="auto" w:fill="FAFFEE"/>
          </w:tcPr>
          <w:p w14:paraId="12C545A7" w14:textId="4ABFA84C" w:rsidR="009F534E" w:rsidRDefault="009F534E" w:rsidP="00A838D4">
            <w:pPr>
              <w:pStyle w:val="table2"/>
            </w:pPr>
            <w:r w:rsidRPr="007E401E">
              <w:t>http://www.handicap-international.de/fileadmin/redaktion/pdf/disability_checklist_booklet_01.pdf</w:t>
            </w:r>
          </w:p>
        </w:tc>
      </w:tr>
      <w:tr w:rsidR="009F534E" w14:paraId="518C0938" w14:textId="77777777" w:rsidTr="00065EB9">
        <w:trPr>
          <w:cantSplit/>
        </w:trPr>
        <w:tc>
          <w:tcPr>
            <w:tcW w:w="1809" w:type="dxa"/>
            <w:shd w:val="clear" w:color="auto" w:fill="auto"/>
          </w:tcPr>
          <w:p w14:paraId="145C0C24" w14:textId="35A85496" w:rsidR="009F534E" w:rsidRPr="00A838D4" w:rsidRDefault="009F534E" w:rsidP="00A838D4">
            <w:pPr>
              <w:pStyle w:val="table2"/>
              <w:rPr>
                <w:b/>
              </w:rPr>
            </w:pPr>
            <w:r w:rsidRPr="00A838D4">
              <w:rPr>
                <w:b/>
              </w:rPr>
              <w:t>IASC AAP</w:t>
            </w:r>
          </w:p>
        </w:tc>
        <w:tc>
          <w:tcPr>
            <w:tcW w:w="6521" w:type="dxa"/>
            <w:shd w:val="clear" w:color="auto" w:fill="auto"/>
          </w:tcPr>
          <w:p w14:paraId="2A4A85CA" w14:textId="15C1C454" w:rsidR="009F534E" w:rsidRPr="00065EB9" w:rsidRDefault="009F534E" w:rsidP="00A838D4">
            <w:pPr>
              <w:pStyle w:val="table2"/>
              <w:rPr>
                <w:b/>
              </w:rPr>
            </w:pPr>
            <w:r w:rsidRPr="00065EB9">
              <w:rPr>
                <w:b/>
              </w:rPr>
              <w:t>The IASC transformative agenda and the IASC AAP framework refers to various Q&amp;A tools</w:t>
            </w:r>
          </w:p>
        </w:tc>
        <w:tc>
          <w:tcPr>
            <w:tcW w:w="6379" w:type="dxa"/>
            <w:shd w:val="clear" w:color="auto" w:fill="auto"/>
          </w:tcPr>
          <w:p w14:paraId="0A791F49" w14:textId="77777777" w:rsidR="009F534E" w:rsidRDefault="009F534E" w:rsidP="00A838D4">
            <w:pPr>
              <w:pStyle w:val="table2"/>
            </w:pPr>
            <w:r w:rsidRPr="007E401E">
              <w:t>http://www.humanitarianinfo.org/iasc/pageloader.aspx?page=content-template-default&amp;bd=87</w:t>
            </w:r>
          </w:p>
          <w:p w14:paraId="07FB5F84" w14:textId="63B1F814" w:rsidR="00A838D4" w:rsidRDefault="00A838D4" w:rsidP="00A838D4">
            <w:pPr>
              <w:pStyle w:val="table2"/>
            </w:pPr>
            <w:r w:rsidRPr="007E401E">
              <w:t>http://www.humanitarianinfo.org/iasc/pageloader.aspx?page=content-search-fastsearch&amp;query=AAP</w:t>
            </w:r>
          </w:p>
        </w:tc>
      </w:tr>
      <w:tr w:rsidR="009F534E" w14:paraId="2C0BA74D" w14:textId="77777777" w:rsidTr="00F776C2">
        <w:trPr>
          <w:cantSplit/>
        </w:trPr>
        <w:tc>
          <w:tcPr>
            <w:tcW w:w="1809" w:type="dxa"/>
            <w:shd w:val="clear" w:color="auto" w:fill="FAFFEE"/>
          </w:tcPr>
          <w:p w14:paraId="65CFA0EF" w14:textId="0D703720" w:rsidR="009F534E" w:rsidRPr="00A838D4" w:rsidRDefault="009F534E" w:rsidP="00A838D4">
            <w:pPr>
              <w:pStyle w:val="table2"/>
              <w:rPr>
                <w:b/>
              </w:rPr>
            </w:pPr>
            <w:r w:rsidRPr="00A838D4">
              <w:rPr>
                <w:b/>
              </w:rPr>
              <w:t>INEE</w:t>
            </w:r>
          </w:p>
        </w:tc>
        <w:tc>
          <w:tcPr>
            <w:tcW w:w="6521" w:type="dxa"/>
            <w:shd w:val="clear" w:color="auto" w:fill="FAFFEE"/>
          </w:tcPr>
          <w:p w14:paraId="695DDFF1" w14:textId="24FF7F93" w:rsidR="009F534E" w:rsidRPr="00065EB9" w:rsidRDefault="009F534E" w:rsidP="00A838D4">
            <w:pPr>
              <w:pStyle w:val="table2"/>
              <w:rPr>
                <w:b/>
              </w:rPr>
            </w:pPr>
            <w:r w:rsidRPr="00065EB9">
              <w:rPr>
                <w:b/>
              </w:rPr>
              <w:t>Minimum standards for education: preparedness, response, recovery</w:t>
            </w:r>
          </w:p>
        </w:tc>
        <w:tc>
          <w:tcPr>
            <w:tcW w:w="6379" w:type="dxa"/>
            <w:shd w:val="clear" w:color="auto" w:fill="FAFFEE"/>
          </w:tcPr>
          <w:p w14:paraId="516508B3" w14:textId="78CDDFAC" w:rsidR="009F534E" w:rsidRDefault="009F534E" w:rsidP="00A838D4">
            <w:pPr>
              <w:pStyle w:val="table2"/>
            </w:pPr>
            <w:r w:rsidRPr="007E401E">
              <w:t>www.ineesite.org</w:t>
            </w:r>
          </w:p>
        </w:tc>
      </w:tr>
      <w:tr w:rsidR="009F534E" w14:paraId="27E410B4" w14:textId="77777777" w:rsidTr="00065EB9">
        <w:trPr>
          <w:cantSplit/>
        </w:trPr>
        <w:tc>
          <w:tcPr>
            <w:tcW w:w="1809" w:type="dxa"/>
            <w:shd w:val="clear" w:color="auto" w:fill="auto"/>
          </w:tcPr>
          <w:p w14:paraId="77FD1EB6" w14:textId="0D0ACF4F" w:rsidR="009F534E" w:rsidRPr="00A838D4" w:rsidRDefault="009F534E" w:rsidP="00A838D4">
            <w:pPr>
              <w:pStyle w:val="table2"/>
              <w:rPr>
                <w:b/>
              </w:rPr>
            </w:pPr>
            <w:r w:rsidRPr="00A838D4">
              <w:rPr>
                <w:b/>
              </w:rPr>
              <w:t>INEE</w:t>
            </w:r>
          </w:p>
        </w:tc>
        <w:tc>
          <w:tcPr>
            <w:tcW w:w="6521" w:type="dxa"/>
            <w:shd w:val="clear" w:color="auto" w:fill="auto"/>
          </w:tcPr>
          <w:p w14:paraId="44901983" w14:textId="72BFCD0F" w:rsidR="009F534E" w:rsidRDefault="009F534E" w:rsidP="00A838D4">
            <w:pPr>
              <w:pStyle w:val="table2"/>
            </w:pPr>
            <w:r w:rsidRPr="007E401E">
              <w:t>The Short Guide to Rapid Joint Education Needs Assessments is part of a larger toolkit produced by the Global Education Cluster in 2010 called The Joint Education Needs Assessment Toolkit.</w:t>
            </w:r>
          </w:p>
        </w:tc>
        <w:tc>
          <w:tcPr>
            <w:tcW w:w="6379" w:type="dxa"/>
            <w:shd w:val="clear" w:color="auto" w:fill="auto"/>
          </w:tcPr>
          <w:p w14:paraId="672F97EB" w14:textId="432A9D9A" w:rsidR="009F534E" w:rsidRDefault="009F534E" w:rsidP="00A838D4">
            <w:pPr>
              <w:pStyle w:val="table2"/>
            </w:pPr>
            <w:r w:rsidRPr="007E401E">
              <w:t>http://toolkit.ineesite.org/toolkit/INEEcms/uploads/1036/Short_Guide_to_Rapid_Joint_Needs_Assessment_EN.pdf</w:t>
            </w:r>
          </w:p>
        </w:tc>
      </w:tr>
      <w:tr w:rsidR="009F534E" w14:paraId="04A57D98" w14:textId="77777777" w:rsidTr="00F776C2">
        <w:trPr>
          <w:cantSplit/>
        </w:trPr>
        <w:tc>
          <w:tcPr>
            <w:tcW w:w="1809" w:type="dxa"/>
            <w:shd w:val="clear" w:color="auto" w:fill="FAFFEE"/>
          </w:tcPr>
          <w:p w14:paraId="332B9590" w14:textId="54ECFF2D" w:rsidR="009F534E" w:rsidRPr="00A838D4" w:rsidRDefault="009F534E" w:rsidP="00A838D4">
            <w:pPr>
              <w:pStyle w:val="table2"/>
              <w:rPr>
                <w:b/>
              </w:rPr>
            </w:pPr>
            <w:r w:rsidRPr="00A838D4">
              <w:rPr>
                <w:b/>
              </w:rPr>
              <w:t xml:space="preserve">INEE </w:t>
            </w:r>
          </w:p>
        </w:tc>
        <w:tc>
          <w:tcPr>
            <w:tcW w:w="6521" w:type="dxa"/>
            <w:shd w:val="clear" w:color="auto" w:fill="FAFFEE"/>
          </w:tcPr>
          <w:p w14:paraId="2A15724E" w14:textId="23064035" w:rsidR="009F534E" w:rsidRDefault="009F534E" w:rsidP="00A838D4">
            <w:pPr>
              <w:pStyle w:val="table2"/>
            </w:pPr>
            <w:r w:rsidRPr="007E401E">
              <w:t>The INEE Toolkit contains a wide variety of practical, field-friendly tools and resources for the field of education in emergencies through recovery.</w:t>
            </w:r>
          </w:p>
        </w:tc>
        <w:tc>
          <w:tcPr>
            <w:tcW w:w="6379" w:type="dxa"/>
            <w:shd w:val="clear" w:color="auto" w:fill="FAFFEE"/>
          </w:tcPr>
          <w:p w14:paraId="13CEEEA2" w14:textId="41DA0972" w:rsidR="009F534E" w:rsidRDefault="009F534E" w:rsidP="00A838D4">
            <w:pPr>
              <w:pStyle w:val="table2"/>
            </w:pPr>
            <w:r w:rsidRPr="007E401E">
              <w:t>http://toolkit.ineesite.org/toolkit/Toolkit.php?PostID=1001</w:t>
            </w:r>
          </w:p>
        </w:tc>
      </w:tr>
      <w:tr w:rsidR="009F534E" w14:paraId="4D02DFAF" w14:textId="77777777" w:rsidTr="00065EB9">
        <w:trPr>
          <w:cantSplit/>
        </w:trPr>
        <w:tc>
          <w:tcPr>
            <w:tcW w:w="1809" w:type="dxa"/>
            <w:shd w:val="clear" w:color="auto" w:fill="auto"/>
          </w:tcPr>
          <w:p w14:paraId="254BB797" w14:textId="64A92C3C" w:rsidR="009F534E" w:rsidRPr="00A838D4" w:rsidRDefault="009F534E" w:rsidP="00A838D4">
            <w:pPr>
              <w:pStyle w:val="table2"/>
              <w:rPr>
                <w:b/>
              </w:rPr>
            </w:pPr>
            <w:r w:rsidRPr="00A838D4">
              <w:rPr>
                <w:b/>
              </w:rPr>
              <w:t xml:space="preserve">INEE </w:t>
            </w:r>
          </w:p>
        </w:tc>
        <w:tc>
          <w:tcPr>
            <w:tcW w:w="6521" w:type="dxa"/>
            <w:shd w:val="clear" w:color="auto" w:fill="auto"/>
          </w:tcPr>
          <w:p w14:paraId="64CEE535" w14:textId="4912E11F" w:rsidR="009F534E" w:rsidRDefault="009F534E" w:rsidP="00A838D4">
            <w:pPr>
              <w:pStyle w:val="table2"/>
            </w:pPr>
            <w:r w:rsidRPr="007E401E">
              <w:t>The introductory video explains why education is key in emergencies.</w:t>
            </w:r>
          </w:p>
        </w:tc>
        <w:tc>
          <w:tcPr>
            <w:tcW w:w="6379" w:type="dxa"/>
            <w:shd w:val="clear" w:color="auto" w:fill="auto"/>
          </w:tcPr>
          <w:p w14:paraId="703C1BC9" w14:textId="74534E9B" w:rsidR="009F534E" w:rsidRDefault="009F534E" w:rsidP="00A838D4">
            <w:pPr>
              <w:pStyle w:val="table2"/>
            </w:pPr>
            <w:r w:rsidRPr="007E401E">
              <w:t>https://www.youtube.com/watch?v=xeMb-nuhfuo</w:t>
            </w:r>
          </w:p>
        </w:tc>
      </w:tr>
      <w:tr w:rsidR="00A838D4" w14:paraId="5DE93267" w14:textId="77777777" w:rsidTr="00F776C2">
        <w:trPr>
          <w:cantSplit/>
        </w:trPr>
        <w:tc>
          <w:tcPr>
            <w:tcW w:w="1809" w:type="dxa"/>
            <w:shd w:val="clear" w:color="auto" w:fill="FAFFEE"/>
          </w:tcPr>
          <w:p w14:paraId="669AEBDA" w14:textId="3AFB832D" w:rsidR="00A838D4" w:rsidRPr="00A838D4" w:rsidRDefault="00A838D4" w:rsidP="00A838D4">
            <w:pPr>
              <w:pStyle w:val="table2"/>
              <w:rPr>
                <w:b/>
              </w:rPr>
            </w:pPr>
            <w:r w:rsidRPr="00A838D4">
              <w:rPr>
                <w:b/>
              </w:rPr>
              <w:t xml:space="preserve">INEE </w:t>
            </w:r>
          </w:p>
        </w:tc>
        <w:tc>
          <w:tcPr>
            <w:tcW w:w="6521" w:type="dxa"/>
            <w:shd w:val="clear" w:color="auto" w:fill="FAFFEE"/>
          </w:tcPr>
          <w:p w14:paraId="47224E03" w14:textId="77777777" w:rsidR="00A838D4" w:rsidRDefault="00A838D4" w:rsidP="00A838D4">
            <w:pPr>
              <w:pStyle w:val="table2"/>
            </w:pPr>
            <w:r w:rsidRPr="007E401E">
              <w:t>INEE Pocket Guide to Gender ‘Gender Equality in and through Education’.</w:t>
            </w:r>
          </w:p>
          <w:p w14:paraId="6056F797" w14:textId="0A17A9C0" w:rsidR="00A838D4" w:rsidRDefault="00A838D4" w:rsidP="00A838D4">
            <w:pPr>
              <w:pStyle w:val="table2"/>
            </w:pPr>
            <w:r w:rsidRPr="007E401E">
              <w:t>The Gender handbook gives a series of concrete strategies and actions for putting gender equality into practice in and across all domains of education programming.</w:t>
            </w:r>
          </w:p>
        </w:tc>
        <w:tc>
          <w:tcPr>
            <w:tcW w:w="6379" w:type="dxa"/>
            <w:shd w:val="clear" w:color="auto" w:fill="FAFFEE"/>
          </w:tcPr>
          <w:p w14:paraId="5C0CD19F" w14:textId="77777777" w:rsidR="00A838D4" w:rsidRDefault="00A838D4" w:rsidP="00A838D4">
            <w:pPr>
              <w:pStyle w:val="table2"/>
            </w:pPr>
            <w:r w:rsidRPr="007E401E">
              <w:t>http://www.ineesite.org/en/materials/inee-pocket-guide-to-gender</w:t>
            </w:r>
          </w:p>
          <w:p w14:paraId="03653D31" w14:textId="62256FD8" w:rsidR="00A838D4" w:rsidRDefault="00A838D4" w:rsidP="00A838D4">
            <w:pPr>
              <w:pStyle w:val="table2"/>
            </w:pPr>
            <w:r w:rsidRPr="007E401E">
              <w:t>http://toolkit.ineesite.org/toolkit/Toolkit.php?PostID=1009</w:t>
            </w:r>
          </w:p>
        </w:tc>
      </w:tr>
      <w:tr w:rsidR="00A838D4" w14:paraId="30B50E76" w14:textId="77777777" w:rsidTr="00065EB9">
        <w:trPr>
          <w:cantSplit/>
        </w:trPr>
        <w:tc>
          <w:tcPr>
            <w:tcW w:w="1809" w:type="dxa"/>
            <w:shd w:val="clear" w:color="auto" w:fill="auto"/>
          </w:tcPr>
          <w:p w14:paraId="5EF4B324" w14:textId="61F1444E" w:rsidR="00A838D4" w:rsidRPr="00A838D4" w:rsidRDefault="00A838D4" w:rsidP="00A838D4">
            <w:pPr>
              <w:pStyle w:val="table2"/>
              <w:rPr>
                <w:b/>
              </w:rPr>
            </w:pPr>
            <w:r w:rsidRPr="00A838D4">
              <w:rPr>
                <w:b/>
              </w:rPr>
              <w:t>INEE</w:t>
            </w:r>
          </w:p>
        </w:tc>
        <w:tc>
          <w:tcPr>
            <w:tcW w:w="6521" w:type="dxa"/>
            <w:shd w:val="clear" w:color="auto" w:fill="auto"/>
          </w:tcPr>
          <w:p w14:paraId="6C896203" w14:textId="7FD63C73" w:rsidR="00A838D4" w:rsidRDefault="00A838D4" w:rsidP="00A838D4">
            <w:pPr>
              <w:pStyle w:val="table2"/>
            </w:pPr>
            <w:r w:rsidRPr="007E401E">
              <w:t>Education in Emergencies: A resource toolkit</w:t>
            </w:r>
          </w:p>
        </w:tc>
        <w:tc>
          <w:tcPr>
            <w:tcW w:w="6379" w:type="dxa"/>
            <w:shd w:val="clear" w:color="auto" w:fill="auto"/>
          </w:tcPr>
          <w:p w14:paraId="6D82098B" w14:textId="58DA0761" w:rsidR="00A838D4" w:rsidRDefault="00A838D4" w:rsidP="00A838D4">
            <w:pPr>
              <w:pStyle w:val="table2"/>
            </w:pPr>
            <w:r w:rsidRPr="007E401E">
              <w:t>http://toolkit.ineesite.org/toolkit/INEEcms/uploads/1037/What_To_Do_in_an_Emergency_Situation.pdf</w:t>
            </w:r>
          </w:p>
        </w:tc>
      </w:tr>
      <w:tr w:rsidR="00A838D4" w14:paraId="401EF3C7" w14:textId="77777777" w:rsidTr="00F776C2">
        <w:trPr>
          <w:cantSplit/>
        </w:trPr>
        <w:tc>
          <w:tcPr>
            <w:tcW w:w="1809" w:type="dxa"/>
            <w:shd w:val="clear" w:color="auto" w:fill="FAFFEE"/>
          </w:tcPr>
          <w:p w14:paraId="3A736DB0" w14:textId="3F59FAF7" w:rsidR="00A838D4" w:rsidRPr="00A838D4" w:rsidRDefault="00A838D4" w:rsidP="00A838D4">
            <w:pPr>
              <w:pStyle w:val="table2"/>
              <w:rPr>
                <w:b/>
              </w:rPr>
            </w:pPr>
            <w:r w:rsidRPr="00A838D4">
              <w:rPr>
                <w:b/>
              </w:rPr>
              <w:t>INEE</w:t>
            </w:r>
          </w:p>
        </w:tc>
        <w:tc>
          <w:tcPr>
            <w:tcW w:w="6521" w:type="dxa"/>
            <w:shd w:val="clear" w:color="auto" w:fill="FAFFEE"/>
          </w:tcPr>
          <w:p w14:paraId="7943D71F" w14:textId="79FDB0B1" w:rsidR="00A838D4" w:rsidRDefault="00A838D4" w:rsidP="00A838D4">
            <w:pPr>
              <w:pStyle w:val="table2"/>
            </w:pPr>
            <w:r w:rsidRPr="007E401E">
              <w:t>INEE Thematic Issue Brief: Inter-Sectoral Linkages</w:t>
            </w:r>
          </w:p>
        </w:tc>
        <w:tc>
          <w:tcPr>
            <w:tcW w:w="6379" w:type="dxa"/>
            <w:shd w:val="clear" w:color="auto" w:fill="FAFFEE"/>
          </w:tcPr>
          <w:p w14:paraId="3AA0A677" w14:textId="147063C6" w:rsidR="00A838D4" w:rsidRDefault="00A838D4" w:rsidP="00A838D4">
            <w:pPr>
              <w:pStyle w:val="table2"/>
            </w:pPr>
            <w:r w:rsidRPr="007E401E">
              <w:t>http://toolkit.ineesite.org/toolkit/INEEcms/uploads/1074/INEE_Thematic_Issue_Brief_Intersectoral.pdf</w:t>
            </w:r>
          </w:p>
        </w:tc>
      </w:tr>
      <w:tr w:rsidR="00A838D4" w14:paraId="429C92F0" w14:textId="77777777" w:rsidTr="00065EB9">
        <w:trPr>
          <w:cantSplit/>
        </w:trPr>
        <w:tc>
          <w:tcPr>
            <w:tcW w:w="1809" w:type="dxa"/>
            <w:shd w:val="clear" w:color="auto" w:fill="auto"/>
          </w:tcPr>
          <w:p w14:paraId="16CDB683" w14:textId="36B064F1" w:rsidR="00A838D4" w:rsidRPr="00A838D4" w:rsidRDefault="00A838D4" w:rsidP="00A838D4">
            <w:pPr>
              <w:pStyle w:val="table2"/>
              <w:rPr>
                <w:b/>
              </w:rPr>
            </w:pPr>
            <w:r w:rsidRPr="00A838D4">
              <w:rPr>
                <w:b/>
              </w:rPr>
              <w:t>INEE</w:t>
            </w:r>
          </w:p>
        </w:tc>
        <w:tc>
          <w:tcPr>
            <w:tcW w:w="6521" w:type="dxa"/>
            <w:shd w:val="clear" w:color="auto" w:fill="auto"/>
          </w:tcPr>
          <w:p w14:paraId="6CDF7829" w14:textId="281D4C5E" w:rsidR="00A838D4" w:rsidRDefault="00A838D4" w:rsidP="00A838D4">
            <w:pPr>
              <w:pStyle w:val="table2"/>
            </w:pPr>
            <w:r w:rsidRPr="007E401E">
              <w:t>Contextualizing the Minimum Standards</w:t>
            </w:r>
          </w:p>
        </w:tc>
        <w:tc>
          <w:tcPr>
            <w:tcW w:w="6379" w:type="dxa"/>
            <w:shd w:val="clear" w:color="auto" w:fill="auto"/>
          </w:tcPr>
          <w:p w14:paraId="54119C0D" w14:textId="07076B53" w:rsidR="00A838D4" w:rsidRDefault="00A838D4" w:rsidP="00A838D4">
            <w:pPr>
              <w:pStyle w:val="table2"/>
            </w:pPr>
            <w:r w:rsidRPr="007E401E">
              <w:t>http://www.ineesite.org/en/minimum-standards/contextualization</w:t>
            </w:r>
          </w:p>
        </w:tc>
      </w:tr>
      <w:tr w:rsidR="00A838D4" w14:paraId="278E05F8" w14:textId="77777777" w:rsidTr="00F776C2">
        <w:trPr>
          <w:cantSplit/>
        </w:trPr>
        <w:tc>
          <w:tcPr>
            <w:tcW w:w="1809" w:type="dxa"/>
            <w:shd w:val="clear" w:color="auto" w:fill="FAFFEE"/>
          </w:tcPr>
          <w:p w14:paraId="6DBCCE25" w14:textId="42ACF2F8" w:rsidR="00A838D4" w:rsidRPr="00A838D4" w:rsidRDefault="00A838D4" w:rsidP="00A838D4">
            <w:pPr>
              <w:pStyle w:val="table2"/>
              <w:rPr>
                <w:b/>
              </w:rPr>
            </w:pPr>
            <w:r w:rsidRPr="00A838D4">
              <w:rPr>
                <w:b/>
              </w:rPr>
              <w:t>INEE</w:t>
            </w:r>
          </w:p>
        </w:tc>
        <w:tc>
          <w:tcPr>
            <w:tcW w:w="6521" w:type="dxa"/>
            <w:shd w:val="clear" w:color="auto" w:fill="FAFFEE"/>
          </w:tcPr>
          <w:p w14:paraId="7F3D5161" w14:textId="7FF1E730" w:rsidR="00A838D4" w:rsidRDefault="00A838D4" w:rsidP="00A838D4">
            <w:pPr>
              <w:pStyle w:val="table2"/>
            </w:pPr>
            <w:r w:rsidRPr="007E401E">
              <w:t>Contextualized INEE versions for Afghanistan, Somalia, South Sudan, Sri Lanka, and Vietnam.</w:t>
            </w:r>
          </w:p>
        </w:tc>
        <w:tc>
          <w:tcPr>
            <w:tcW w:w="6379" w:type="dxa"/>
            <w:shd w:val="clear" w:color="auto" w:fill="FAFFEE"/>
          </w:tcPr>
          <w:p w14:paraId="6E6804D3" w14:textId="7E3F0722" w:rsidR="00A838D4" w:rsidRDefault="00A838D4" w:rsidP="00A838D4">
            <w:pPr>
              <w:pStyle w:val="table2"/>
            </w:pPr>
            <w:r w:rsidRPr="007E401E">
              <w:t>http://www.ineesite.org/en/minimum-standards/contextualization</w:t>
            </w:r>
          </w:p>
        </w:tc>
      </w:tr>
      <w:tr w:rsidR="00A838D4" w14:paraId="7D78BF9E" w14:textId="77777777" w:rsidTr="00065EB9">
        <w:trPr>
          <w:cantSplit/>
        </w:trPr>
        <w:tc>
          <w:tcPr>
            <w:tcW w:w="1809" w:type="dxa"/>
            <w:shd w:val="clear" w:color="auto" w:fill="auto"/>
          </w:tcPr>
          <w:p w14:paraId="75036D39" w14:textId="5301965E" w:rsidR="00A838D4" w:rsidRPr="00A838D4" w:rsidRDefault="00A838D4" w:rsidP="00A838D4">
            <w:pPr>
              <w:pStyle w:val="table2"/>
              <w:rPr>
                <w:b/>
              </w:rPr>
            </w:pPr>
            <w:r w:rsidRPr="00A838D4">
              <w:rPr>
                <w:b/>
              </w:rPr>
              <w:t>JSI</w:t>
            </w:r>
          </w:p>
        </w:tc>
        <w:tc>
          <w:tcPr>
            <w:tcW w:w="6521" w:type="dxa"/>
            <w:shd w:val="clear" w:color="auto" w:fill="auto"/>
          </w:tcPr>
          <w:p w14:paraId="1F822137" w14:textId="77777777" w:rsidR="00A838D4" w:rsidRDefault="00A838D4" w:rsidP="00A838D4">
            <w:pPr>
              <w:pStyle w:val="table2"/>
            </w:pPr>
          </w:p>
        </w:tc>
        <w:tc>
          <w:tcPr>
            <w:tcW w:w="6379" w:type="dxa"/>
            <w:shd w:val="clear" w:color="auto" w:fill="auto"/>
          </w:tcPr>
          <w:p w14:paraId="5E40F80C" w14:textId="77777777" w:rsidR="00A838D4" w:rsidRDefault="00A838D4" w:rsidP="00A838D4">
            <w:pPr>
              <w:pStyle w:val="table2"/>
            </w:pPr>
          </w:p>
        </w:tc>
      </w:tr>
      <w:tr w:rsidR="00A838D4" w14:paraId="06999D0A" w14:textId="77777777" w:rsidTr="00F776C2">
        <w:trPr>
          <w:cantSplit/>
        </w:trPr>
        <w:tc>
          <w:tcPr>
            <w:tcW w:w="1809" w:type="dxa"/>
            <w:shd w:val="clear" w:color="auto" w:fill="FAFFEE"/>
          </w:tcPr>
          <w:p w14:paraId="3884813D" w14:textId="7EF26717" w:rsidR="00A838D4" w:rsidRPr="00A838D4" w:rsidRDefault="00A838D4" w:rsidP="00A838D4">
            <w:pPr>
              <w:pStyle w:val="table2"/>
              <w:rPr>
                <w:b/>
              </w:rPr>
            </w:pPr>
            <w:r w:rsidRPr="00A838D4">
              <w:rPr>
                <w:b/>
              </w:rPr>
              <w:t>Joint Standard Initiative</w:t>
            </w:r>
          </w:p>
        </w:tc>
        <w:tc>
          <w:tcPr>
            <w:tcW w:w="6521" w:type="dxa"/>
            <w:shd w:val="clear" w:color="auto" w:fill="FAFFEE"/>
          </w:tcPr>
          <w:p w14:paraId="4E5EC5A5" w14:textId="3469E07B" w:rsidR="00A838D4" w:rsidRDefault="00A838D4" w:rsidP="00A838D4">
            <w:pPr>
              <w:pStyle w:val="table2"/>
            </w:pPr>
            <w:r w:rsidRPr="007E401E">
              <w:t xml:space="preserve">Mapping Exercise on Quality and Accountability Initiatives in the Humanitarian sector </w:t>
            </w:r>
          </w:p>
        </w:tc>
        <w:tc>
          <w:tcPr>
            <w:tcW w:w="6379" w:type="dxa"/>
            <w:shd w:val="clear" w:color="auto" w:fill="FAFFEE"/>
          </w:tcPr>
          <w:p w14:paraId="24D12588" w14:textId="5CD5A3BA" w:rsidR="00A838D4" w:rsidRDefault="00A838D4" w:rsidP="00A838D4">
            <w:pPr>
              <w:pStyle w:val="table2"/>
            </w:pPr>
            <w:r w:rsidRPr="007E401E">
              <w:t>http://www.jointstandards.org/resources</w:t>
            </w:r>
          </w:p>
        </w:tc>
      </w:tr>
      <w:tr w:rsidR="00A838D4" w14:paraId="01C4A056" w14:textId="77777777" w:rsidTr="00065EB9">
        <w:trPr>
          <w:cantSplit/>
        </w:trPr>
        <w:tc>
          <w:tcPr>
            <w:tcW w:w="1809" w:type="dxa"/>
            <w:shd w:val="clear" w:color="auto" w:fill="auto"/>
          </w:tcPr>
          <w:p w14:paraId="25EC7F3A" w14:textId="0AF6F6A2" w:rsidR="00A838D4" w:rsidRPr="00A838D4" w:rsidRDefault="00A838D4" w:rsidP="00A838D4">
            <w:pPr>
              <w:pStyle w:val="table2"/>
              <w:rPr>
                <w:b/>
              </w:rPr>
            </w:pPr>
            <w:r w:rsidRPr="00A838D4">
              <w:rPr>
                <w:b/>
              </w:rPr>
              <w:lastRenderedPageBreak/>
              <w:t>LEGS</w:t>
            </w:r>
          </w:p>
        </w:tc>
        <w:tc>
          <w:tcPr>
            <w:tcW w:w="6521" w:type="dxa"/>
            <w:shd w:val="clear" w:color="auto" w:fill="auto"/>
          </w:tcPr>
          <w:p w14:paraId="7CD9A151" w14:textId="3F605315" w:rsidR="00A838D4" w:rsidRPr="00065EB9" w:rsidRDefault="00A838D4" w:rsidP="00A838D4">
            <w:pPr>
              <w:pStyle w:val="table2"/>
              <w:rPr>
                <w:b/>
              </w:rPr>
            </w:pPr>
            <w:r w:rsidRPr="00065EB9">
              <w:rPr>
                <w:b/>
              </w:rPr>
              <w:t>The LEGS handbook Livestock Guidelines and Standards</w:t>
            </w:r>
          </w:p>
        </w:tc>
        <w:tc>
          <w:tcPr>
            <w:tcW w:w="6379" w:type="dxa"/>
            <w:shd w:val="clear" w:color="auto" w:fill="auto"/>
          </w:tcPr>
          <w:p w14:paraId="440EAB0B" w14:textId="6D60293D" w:rsidR="00A838D4" w:rsidRDefault="00A838D4" w:rsidP="00A838D4">
            <w:pPr>
              <w:pStyle w:val="table2"/>
            </w:pPr>
            <w:r w:rsidRPr="007E401E">
              <w:t>www.livestock-emergency.net</w:t>
            </w:r>
          </w:p>
        </w:tc>
      </w:tr>
      <w:tr w:rsidR="00A838D4" w14:paraId="2D3107B5" w14:textId="77777777" w:rsidTr="00F776C2">
        <w:trPr>
          <w:cantSplit/>
        </w:trPr>
        <w:tc>
          <w:tcPr>
            <w:tcW w:w="1809" w:type="dxa"/>
            <w:shd w:val="clear" w:color="auto" w:fill="FAFFEE"/>
          </w:tcPr>
          <w:p w14:paraId="0B856117" w14:textId="1D1AF67C" w:rsidR="00A838D4" w:rsidRPr="00A838D4" w:rsidRDefault="00A838D4" w:rsidP="00A838D4">
            <w:pPr>
              <w:pStyle w:val="table2"/>
              <w:rPr>
                <w:b/>
              </w:rPr>
            </w:pPr>
            <w:r w:rsidRPr="00A838D4">
              <w:rPr>
                <w:b/>
              </w:rPr>
              <w:t>LEGS</w:t>
            </w:r>
          </w:p>
        </w:tc>
        <w:tc>
          <w:tcPr>
            <w:tcW w:w="6521" w:type="dxa"/>
            <w:shd w:val="clear" w:color="auto" w:fill="FAFFEE"/>
          </w:tcPr>
          <w:p w14:paraId="16EA5FB0" w14:textId="2E6EA720" w:rsidR="00A838D4" w:rsidRDefault="00A838D4" w:rsidP="00A838D4">
            <w:pPr>
              <w:pStyle w:val="table2"/>
            </w:pPr>
            <w:r w:rsidRPr="007E401E">
              <w:t>The LEGS Resources section proposes a selection of documents to support project planning and implementation of livestock-based interventions. The Resources section is divided into ‘LEGS-specific Resources’ (see below) and general resources relating to the six technical interventions outlined in LEGS</w:t>
            </w:r>
          </w:p>
        </w:tc>
        <w:tc>
          <w:tcPr>
            <w:tcW w:w="6379" w:type="dxa"/>
            <w:shd w:val="clear" w:color="auto" w:fill="FAFFEE"/>
          </w:tcPr>
          <w:p w14:paraId="38659C7C" w14:textId="660E3351" w:rsidR="00A838D4" w:rsidRDefault="00A838D4" w:rsidP="00A838D4">
            <w:pPr>
              <w:pStyle w:val="table2"/>
            </w:pPr>
            <w:r w:rsidRPr="007E401E">
              <w:t>http://www.livestock-emergency.net/resources</w:t>
            </w:r>
          </w:p>
        </w:tc>
      </w:tr>
      <w:tr w:rsidR="00A838D4" w14:paraId="731682B6" w14:textId="77777777" w:rsidTr="00065EB9">
        <w:trPr>
          <w:cantSplit/>
        </w:trPr>
        <w:tc>
          <w:tcPr>
            <w:tcW w:w="1809" w:type="dxa"/>
            <w:shd w:val="clear" w:color="auto" w:fill="auto"/>
          </w:tcPr>
          <w:p w14:paraId="3C45388F" w14:textId="49D38936" w:rsidR="00A838D4" w:rsidRPr="00A838D4" w:rsidRDefault="00A838D4" w:rsidP="00A838D4">
            <w:pPr>
              <w:pStyle w:val="table2"/>
              <w:rPr>
                <w:b/>
              </w:rPr>
            </w:pPr>
            <w:r w:rsidRPr="00A838D4">
              <w:rPr>
                <w:b/>
              </w:rPr>
              <w:t>LEGS</w:t>
            </w:r>
          </w:p>
        </w:tc>
        <w:tc>
          <w:tcPr>
            <w:tcW w:w="6521" w:type="dxa"/>
            <w:shd w:val="clear" w:color="auto" w:fill="auto"/>
          </w:tcPr>
          <w:p w14:paraId="4697A51C" w14:textId="5343ADD7" w:rsidR="00A838D4" w:rsidRDefault="00A838D4" w:rsidP="00A838D4">
            <w:pPr>
              <w:pStyle w:val="table2"/>
            </w:pPr>
            <w:r w:rsidRPr="007E401E">
              <w:t>The ‘LEGS-specific Resources’ page includes an evaluation tool and a number of Briefing Papers on key topics such as gender, resilience, climate change, and cash transfers.</w:t>
            </w:r>
          </w:p>
        </w:tc>
        <w:tc>
          <w:tcPr>
            <w:tcW w:w="6379" w:type="dxa"/>
            <w:shd w:val="clear" w:color="auto" w:fill="auto"/>
          </w:tcPr>
          <w:p w14:paraId="42A5F0DF" w14:textId="6670E70C" w:rsidR="00A838D4" w:rsidRDefault="00A838D4" w:rsidP="00A838D4">
            <w:pPr>
              <w:pStyle w:val="table2"/>
            </w:pPr>
            <w:r w:rsidRPr="007E401E">
              <w:t>http://www.livestock-emergency.net/resources/general-resources-legs-specific/</w:t>
            </w:r>
          </w:p>
        </w:tc>
      </w:tr>
      <w:tr w:rsidR="00A838D4" w14:paraId="169142F9" w14:textId="77777777" w:rsidTr="00F776C2">
        <w:trPr>
          <w:cantSplit/>
        </w:trPr>
        <w:tc>
          <w:tcPr>
            <w:tcW w:w="1809" w:type="dxa"/>
            <w:shd w:val="clear" w:color="auto" w:fill="FAFFEE"/>
          </w:tcPr>
          <w:p w14:paraId="4F6F77D4" w14:textId="145C9E50" w:rsidR="00A838D4" w:rsidRPr="00A838D4" w:rsidRDefault="00A838D4" w:rsidP="00A838D4">
            <w:pPr>
              <w:pStyle w:val="table2"/>
              <w:rPr>
                <w:b/>
              </w:rPr>
            </w:pPr>
            <w:r w:rsidRPr="00A838D4">
              <w:rPr>
                <w:b/>
              </w:rPr>
              <w:t>LEGS</w:t>
            </w:r>
          </w:p>
        </w:tc>
        <w:tc>
          <w:tcPr>
            <w:tcW w:w="6521" w:type="dxa"/>
            <w:shd w:val="clear" w:color="auto" w:fill="FAFFEE"/>
          </w:tcPr>
          <w:p w14:paraId="0254E4B9" w14:textId="40322C91" w:rsidR="00A838D4" w:rsidRDefault="00A838D4" w:rsidP="00A838D4">
            <w:pPr>
              <w:pStyle w:val="table2"/>
            </w:pPr>
            <w:r w:rsidRPr="007E401E">
              <w:t>Two videos are available: the first provides an overview of what LEGS is and why it can help you as a field practitioner (3 mins); the second outlines the LEGS approach in more detail (20 mins)</w:t>
            </w:r>
          </w:p>
        </w:tc>
        <w:tc>
          <w:tcPr>
            <w:tcW w:w="6379" w:type="dxa"/>
            <w:shd w:val="clear" w:color="auto" w:fill="FAFFEE"/>
          </w:tcPr>
          <w:p w14:paraId="0DD7457B" w14:textId="5FE497C8" w:rsidR="00A838D4" w:rsidRDefault="00A838D4" w:rsidP="00A838D4">
            <w:pPr>
              <w:pStyle w:val="table2"/>
            </w:pPr>
            <w:r w:rsidRPr="007E401E">
              <w:t>http://www.livestock-emergency.net/resources/videos</w:t>
            </w:r>
          </w:p>
        </w:tc>
      </w:tr>
      <w:tr w:rsidR="00A838D4" w14:paraId="1FF0FCF7" w14:textId="77777777" w:rsidTr="00065EB9">
        <w:trPr>
          <w:cantSplit/>
        </w:trPr>
        <w:tc>
          <w:tcPr>
            <w:tcW w:w="1809" w:type="dxa"/>
            <w:shd w:val="clear" w:color="auto" w:fill="auto"/>
          </w:tcPr>
          <w:p w14:paraId="352A4347" w14:textId="5F9FBD14" w:rsidR="00A838D4" w:rsidRPr="00A838D4" w:rsidRDefault="00A838D4" w:rsidP="00A838D4">
            <w:pPr>
              <w:pStyle w:val="table2"/>
              <w:rPr>
                <w:b/>
              </w:rPr>
            </w:pPr>
            <w:r w:rsidRPr="00A838D4">
              <w:rPr>
                <w:b/>
              </w:rPr>
              <w:t>MERS</w:t>
            </w:r>
          </w:p>
        </w:tc>
        <w:tc>
          <w:tcPr>
            <w:tcW w:w="6521" w:type="dxa"/>
            <w:shd w:val="clear" w:color="auto" w:fill="auto"/>
          </w:tcPr>
          <w:p w14:paraId="3163D981" w14:textId="0E2597EA" w:rsidR="00A838D4" w:rsidRPr="00065EB9" w:rsidRDefault="00A838D4" w:rsidP="00A838D4">
            <w:pPr>
              <w:pStyle w:val="table2"/>
              <w:rPr>
                <w:b/>
              </w:rPr>
            </w:pPr>
            <w:r w:rsidRPr="00065EB9">
              <w:rPr>
                <w:b/>
              </w:rPr>
              <w:t>The Minimum Economic Recovery Standards</w:t>
            </w:r>
          </w:p>
        </w:tc>
        <w:tc>
          <w:tcPr>
            <w:tcW w:w="6379" w:type="dxa"/>
            <w:shd w:val="clear" w:color="auto" w:fill="auto"/>
          </w:tcPr>
          <w:p w14:paraId="5E9BF41E" w14:textId="534191D9" w:rsidR="00A838D4" w:rsidRDefault="00A838D4" w:rsidP="00A838D4">
            <w:pPr>
              <w:pStyle w:val="table2"/>
            </w:pPr>
            <w:r w:rsidRPr="007E401E">
              <w:t>www.seepnetwork.org</w:t>
            </w:r>
          </w:p>
        </w:tc>
      </w:tr>
      <w:tr w:rsidR="00A838D4" w14:paraId="0051CFE3" w14:textId="77777777" w:rsidTr="00065EB9">
        <w:trPr>
          <w:cantSplit/>
        </w:trPr>
        <w:tc>
          <w:tcPr>
            <w:tcW w:w="1809" w:type="dxa"/>
            <w:shd w:val="clear" w:color="auto" w:fill="auto"/>
          </w:tcPr>
          <w:p w14:paraId="054BAB3B" w14:textId="400BE765" w:rsidR="00A838D4" w:rsidRPr="00A838D4" w:rsidRDefault="00A838D4" w:rsidP="00A838D4">
            <w:pPr>
              <w:pStyle w:val="table2"/>
              <w:rPr>
                <w:b/>
              </w:rPr>
            </w:pPr>
            <w:r w:rsidRPr="00A838D4">
              <w:rPr>
                <w:b/>
              </w:rPr>
              <w:t>P-FIM</w:t>
            </w:r>
          </w:p>
        </w:tc>
        <w:tc>
          <w:tcPr>
            <w:tcW w:w="6521" w:type="dxa"/>
            <w:shd w:val="clear" w:color="auto" w:fill="auto"/>
          </w:tcPr>
          <w:p w14:paraId="42F4B633" w14:textId="23B8D9D2" w:rsidR="00A838D4" w:rsidRPr="007E401E" w:rsidRDefault="00A838D4" w:rsidP="00A838D4">
            <w:pPr>
              <w:pStyle w:val="table2"/>
            </w:pPr>
            <w:r w:rsidRPr="00EF6020">
              <w:t>Toolkit</w:t>
            </w:r>
          </w:p>
        </w:tc>
        <w:tc>
          <w:tcPr>
            <w:tcW w:w="6379" w:type="dxa"/>
            <w:shd w:val="clear" w:color="auto" w:fill="auto"/>
          </w:tcPr>
          <w:p w14:paraId="40FE8C1B" w14:textId="058915C0" w:rsidR="00A838D4" w:rsidRPr="007E401E" w:rsidRDefault="00A838D4" w:rsidP="00A838D4">
            <w:pPr>
              <w:pStyle w:val="table2"/>
            </w:pPr>
            <w:r w:rsidRPr="00EF6020">
              <w:t>www.p-fim.org</w:t>
            </w:r>
          </w:p>
        </w:tc>
      </w:tr>
      <w:tr w:rsidR="00A838D4" w14:paraId="711C24B1" w14:textId="77777777" w:rsidTr="00F776C2">
        <w:trPr>
          <w:cantSplit/>
        </w:trPr>
        <w:tc>
          <w:tcPr>
            <w:tcW w:w="1809" w:type="dxa"/>
            <w:shd w:val="clear" w:color="auto" w:fill="FAFFEE"/>
          </w:tcPr>
          <w:p w14:paraId="4D44F080" w14:textId="77140CA9" w:rsidR="00A838D4" w:rsidRPr="00A838D4" w:rsidRDefault="00A838D4" w:rsidP="00A838D4">
            <w:pPr>
              <w:pStyle w:val="table2"/>
              <w:rPr>
                <w:b/>
              </w:rPr>
            </w:pPr>
            <w:r w:rsidRPr="00A838D4">
              <w:rPr>
                <w:b/>
              </w:rPr>
              <w:t>Sphere Project</w:t>
            </w:r>
          </w:p>
        </w:tc>
        <w:tc>
          <w:tcPr>
            <w:tcW w:w="6521" w:type="dxa"/>
            <w:shd w:val="clear" w:color="auto" w:fill="FAFFEE"/>
          </w:tcPr>
          <w:p w14:paraId="68CB4DEB" w14:textId="5736AC26" w:rsidR="00A838D4" w:rsidRPr="00065EB9" w:rsidRDefault="00A838D4" w:rsidP="00A838D4">
            <w:pPr>
              <w:pStyle w:val="table2"/>
              <w:rPr>
                <w:b/>
              </w:rPr>
            </w:pPr>
            <w:r w:rsidRPr="00065EB9">
              <w:rPr>
                <w:b/>
              </w:rPr>
              <w:t>The Sphere Project: Humanitarian Charter and Minimum Standards in Humanitarian Response</w:t>
            </w:r>
          </w:p>
        </w:tc>
        <w:tc>
          <w:tcPr>
            <w:tcW w:w="6379" w:type="dxa"/>
            <w:shd w:val="clear" w:color="auto" w:fill="FAFFEE"/>
          </w:tcPr>
          <w:p w14:paraId="5A790E08" w14:textId="67771847" w:rsidR="00A838D4" w:rsidRPr="007E401E" w:rsidRDefault="00A838D4" w:rsidP="00A838D4">
            <w:pPr>
              <w:pStyle w:val="table2"/>
            </w:pPr>
            <w:r w:rsidRPr="00EF6020">
              <w:t>www.sphereproject.org/</w:t>
            </w:r>
          </w:p>
        </w:tc>
      </w:tr>
      <w:tr w:rsidR="00A838D4" w14:paraId="5455F1F7" w14:textId="77777777" w:rsidTr="00065EB9">
        <w:trPr>
          <w:cantSplit/>
        </w:trPr>
        <w:tc>
          <w:tcPr>
            <w:tcW w:w="1809" w:type="dxa"/>
            <w:shd w:val="clear" w:color="auto" w:fill="auto"/>
          </w:tcPr>
          <w:p w14:paraId="15FD653A" w14:textId="5EEB39E7" w:rsidR="00A838D4" w:rsidRPr="00A838D4" w:rsidRDefault="00A838D4" w:rsidP="00A838D4">
            <w:pPr>
              <w:pStyle w:val="table2"/>
              <w:rPr>
                <w:b/>
              </w:rPr>
            </w:pPr>
            <w:r w:rsidRPr="00A838D4">
              <w:rPr>
                <w:b/>
              </w:rPr>
              <w:t>Sphere Project</w:t>
            </w:r>
          </w:p>
        </w:tc>
        <w:tc>
          <w:tcPr>
            <w:tcW w:w="6521" w:type="dxa"/>
            <w:shd w:val="clear" w:color="auto" w:fill="auto"/>
          </w:tcPr>
          <w:p w14:paraId="35212F79" w14:textId="01193228" w:rsidR="00A838D4" w:rsidRPr="007E401E" w:rsidRDefault="00A838D4" w:rsidP="00A838D4">
            <w:pPr>
              <w:pStyle w:val="table2"/>
            </w:pPr>
            <w:r w:rsidRPr="00EF6020">
              <w:t>Sphere contextualisation video: The Sphere Project proposes this excellent movie to illustrate the importance of contextualization and how Sphere standards are applied in the field.</w:t>
            </w:r>
          </w:p>
        </w:tc>
        <w:tc>
          <w:tcPr>
            <w:tcW w:w="6379" w:type="dxa"/>
            <w:shd w:val="clear" w:color="auto" w:fill="auto"/>
          </w:tcPr>
          <w:p w14:paraId="552700C9" w14:textId="3EA5D6D6" w:rsidR="00A838D4" w:rsidRPr="007E401E" w:rsidRDefault="00A838D4" w:rsidP="00A838D4">
            <w:pPr>
              <w:pStyle w:val="table2"/>
            </w:pPr>
            <w:r w:rsidRPr="00EF6020">
              <w:t>http://www.sphereproject.org</w:t>
            </w:r>
          </w:p>
        </w:tc>
      </w:tr>
      <w:tr w:rsidR="00A838D4" w14:paraId="76637D75" w14:textId="77777777" w:rsidTr="00F776C2">
        <w:trPr>
          <w:cantSplit/>
        </w:trPr>
        <w:tc>
          <w:tcPr>
            <w:tcW w:w="1809" w:type="dxa"/>
            <w:shd w:val="clear" w:color="auto" w:fill="FAFFEE"/>
          </w:tcPr>
          <w:p w14:paraId="5957A6BF" w14:textId="7B2FB352" w:rsidR="00A838D4" w:rsidRPr="00A838D4" w:rsidRDefault="00A838D4" w:rsidP="00A838D4">
            <w:pPr>
              <w:pStyle w:val="table2"/>
              <w:rPr>
                <w:b/>
              </w:rPr>
            </w:pPr>
            <w:r w:rsidRPr="00A838D4">
              <w:rPr>
                <w:b/>
              </w:rPr>
              <w:t>Sphere Project</w:t>
            </w:r>
          </w:p>
        </w:tc>
        <w:tc>
          <w:tcPr>
            <w:tcW w:w="6521" w:type="dxa"/>
            <w:shd w:val="clear" w:color="auto" w:fill="FAFFEE"/>
          </w:tcPr>
          <w:p w14:paraId="12A4C475" w14:textId="6FFF4573" w:rsidR="00A838D4" w:rsidRPr="007E401E" w:rsidRDefault="00A838D4" w:rsidP="00A838D4">
            <w:pPr>
              <w:pStyle w:val="table2"/>
            </w:pPr>
            <w:r w:rsidRPr="00EF6020">
              <w:t>Sphere E-learning module for field practitioners’ course brings the Handbook to life through the use of scenarios, helping the learner to become acquainted with its core messages and to understand how to use it holistically.</w:t>
            </w:r>
          </w:p>
        </w:tc>
        <w:tc>
          <w:tcPr>
            <w:tcW w:w="6379" w:type="dxa"/>
            <w:shd w:val="clear" w:color="auto" w:fill="FAFFEE"/>
          </w:tcPr>
          <w:p w14:paraId="56117287" w14:textId="2F1845F0" w:rsidR="00A838D4" w:rsidRPr="007E401E" w:rsidRDefault="00A838D4" w:rsidP="00A838D4">
            <w:pPr>
              <w:pStyle w:val="table2"/>
            </w:pPr>
            <w:r w:rsidRPr="00EF6020">
              <w:t>http://www.sphereproject.org/sphere/en/learning/e-learning-course</w:t>
            </w:r>
          </w:p>
        </w:tc>
      </w:tr>
      <w:tr w:rsidR="00A838D4" w14:paraId="14ECC192" w14:textId="77777777" w:rsidTr="00065EB9">
        <w:trPr>
          <w:cantSplit/>
        </w:trPr>
        <w:tc>
          <w:tcPr>
            <w:tcW w:w="1809" w:type="dxa"/>
            <w:shd w:val="clear" w:color="auto" w:fill="auto"/>
          </w:tcPr>
          <w:p w14:paraId="5E7AF04A" w14:textId="513FD716" w:rsidR="00A838D4" w:rsidRPr="00A838D4" w:rsidRDefault="00A838D4" w:rsidP="00A838D4">
            <w:pPr>
              <w:pStyle w:val="table2"/>
              <w:rPr>
                <w:b/>
              </w:rPr>
            </w:pPr>
            <w:r w:rsidRPr="00A838D4">
              <w:rPr>
                <w:b/>
              </w:rPr>
              <w:t>Sphere Project</w:t>
            </w:r>
          </w:p>
        </w:tc>
        <w:tc>
          <w:tcPr>
            <w:tcW w:w="6521" w:type="dxa"/>
            <w:shd w:val="clear" w:color="auto" w:fill="auto"/>
          </w:tcPr>
          <w:p w14:paraId="2D614151" w14:textId="192B4B19" w:rsidR="00A838D4" w:rsidRPr="007E401E" w:rsidRDefault="00A838D4" w:rsidP="00A838D4">
            <w:pPr>
              <w:pStyle w:val="table2"/>
            </w:pPr>
            <w:r w:rsidRPr="00EF6020">
              <w:t>This glossary includes some key terms used on the Sphere Handbook 2011 edition.</w:t>
            </w:r>
          </w:p>
        </w:tc>
        <w:tc>
          <w:tcPr>
            <w:tcW w:w="6379" w:type="dxa"/>
            <w:shd w:val="clear" w:color="auto" w:fill="auto"/>
          </w:tcPr>
          <w:p w14:paraId="071392A0" w14:textId="2CECCB56" w:rsidR="00A838D4" w:rsidRPr="007E401E" w:rsidRDefault="00A838D4" w:rsidP="00A838D4">
            <w:pPr>
              <w:pStyle w:val="table2"/>
            </w:pPr>
            <w:r w:rsidRPr="00EF6020">
              <w:t>http://www.sphereproject.org/handbook/glossary</w:t>
            </w:r>
          </w:p>
        </w:tc>
      </w:tr>
      <w:tr w:rsidR="00A838D4" w14:paraId="142899D0" w14:textId="77777777" w:rsidTr="00F776C2">
        <w:trPr>
          <w:cantSplit/>
        </w:trPr>
        <w:tc>
          <w:tcPr>
            <w:tcW w:w="1809" w:type="dxa"/>
            <w:shd w:val="clear" w:color="auto" w:fill="FAFFEE"/>
          </w:tcPr>
          <w:p w14:paraId="15450D81" w14:textId="13416023" w:rsidR="00A838D4" w:rsidRPr="00A838D4" w:rsidRDefault="00A838D4" w:rsidP="00A838D4">
            <w:pPr>
              <w:pStyle w:val="table2"/>
              <w:rPr>
                <w:b/>
              </w:rPr>
            </w:pPr>
            <w:r w:rsidRPr="00A838D4">
              <w:rPr>
                <w:b/>
              </w:rPr>
              <w:t>TI</w:t>
            </w:r>
          </w:p>
        </w:tc>
        <w:tc>
          <w:tcPr>
            <w:tcW w:w="6521" w:type="dxa"/>
            <w:shd w:val="clear" w:color="auto" w:fill="FAFFEE"/>
          </w:tcPr>
          <w:p w14:paraId="7CEE6F3B" w14:textId="77777777" w:rsidR="00A838D4" w:rsidRDefault="00A838D4" w:rsidP="00A838D4">
            <w:pPr>
              <w:pStyle w:val="table2"/>
            </w:pPr>
            <w:r w:rsidRPr="00EF6020">
              <w:t>Preventing Corruption in Humanitarian Operation</w:t>
            </w:r>
          </w:p>
          <w:p w14:paraId="1523C922" w14:textId="622E25EA" w:rsidR="00A838D4" w:rsidRPr="007E401E" w:rsidRDefault="00A838D4" w:rsidP="00A838D4">
            <w:pPr>
              <w:pStyle w:val="table2"/>
            </w:pPr>
            <w:r w:rsidRPr="00EF6020">
              <w:t>Corruption fighter's toolkit</w:t>
            </w:r>
          </w:p>
        </w:tc>
        <w:tc>
          <w:tcPr>
            <w:tcW w:w="6379" w:type="dxa"/>
            <w:shd w:val="clear" w:color="auto" w:fill="FAFFEE"/>
          </w:tcPr>
          <w:p w14:paraId="18E7EAD5" w14:textId="1FB63CB0" w:rsidR="00A838D4" w:rsidRPr="007E401E" w:rsidRDefault="00A838D4" w:rsidP="00A838D4">
            <w:pPr>
              <w:pStyle w:val="table2"/>
            </w:pPr>
            <w:r w:rsidRPr="00EF6020">
              <w:t>http://www.transparency.org/whatwedo/tools/corruption_fighters_toolkits_introduction/2</w:t>
            </w:r>
          </w:p>
        </w:tc>
      </w:tr>
      <w:tr w:rsidR="00A838D4" w14:paraId="05949D2D" w14:textId="77777777" w:rsidTr="00065EB9">
        <w:trPr>
          <w:cantSplit/>
        </w:trPr>
        <w:tc>
          <w:tcPr>
            <w:tcW w:w="1809" w:type="dxa"/>
            <w:shd w:val="clear" w:color="auto" w:fill="auto"/>
          </w:tcPr>
          <w:p w14:paraId="100B89C1" w14:textId="40D579CA" w:rsidR="00A838D4" w:rsidRPr="00A838D4" w:rsidRDefault="00A838D4" w:rsidP="00A838D4">
            <w:pPr>
              <w:pStyle w:val="table2"/>
              <w:rPr>
                <w:b/>
              </w:rPr>
            </w:pPr>
            <w:r w:rsidRPr="00A838D4">
              <w:rPr>
                <w:b/>
              </w:rPr>
              <w:t>World Health Organization</w:t>
            </w:r>
          </w:p>
        </w:tc>
        <w:tc>
          <w:tcPr>
            <w:tcW w:w="6521" w:type="dxa"/>
            <w:shd w:val="clear" w:color="auto" w:fill="auto"/>
          </w:tcPr>
          <w:p w14:paraId="25B06C4F" w14:textId="58AE035D" w:rsidR="00A838D4" w:rsidRPr="007E401E" w:rsidRDefault="00A838D4" w:rsidP="00A838D4">
            <w:pPr>
              <w:pStyle w:val="table2"/>
            </w:pPr>
            <w:r w:rsidRPr="001E0ECF">
              <w:t>Guidance note on disability and emergency risk management for health</w:t>
            </w:r>
          </w:p>
        </w:tc>
        <w:tc>
          <w:tcPr>
            <w:tcW w:w="6379" w:type="dxa"/>
            <w:shd w:val="clear" w:color="auto" w:fill="auto"/>
          </w:tcPr>
          <w:p w14:paraId="61554188" w14:textId="77777777" w:rsidR="00A838D4" w:rsidRDefault="00A838D4" w:rsidP="00A838D4">
            <w:pPr>
              <w:pStyle w:val="table2"/>
            </w:pPr>
            <w:r w:rsidRPr="001E0ECF">
              <w:t>World Health Organization</w:t>
            </w:r>
          </w:p>
          <w:p w14:paraId="7C37D934" w14:textId="1EBFF445" w:rsidR="0032009E" w:rsidRPr="007E401E" w:rsidRDefault="0032009E" w:rsidP="00A838D4">
            <w:pPr>
              <w:pStyle w:val="table2"/>
            </w:pPr>
            <w:r w:rsidRPr="0032009E">
              <w:t>http://www.who.int/hac/techguidance/preparedness/disability/en/</w:t>
            </w:r>
          </w:p>
        </w:tc>
      </w:tr>
    </w:tbl>
    <w:p w14:paraId="35FDE5DA" w14:textId="257488BD" w:rsidR="003C6D92" w:rsidRDefault="003C6D92" w:rsidP="00235E88"/>
    <w:sectPr w:rsidR="003C6D92" w:rsidSect="00BB75BC">
      <w:headerReference w:type="default" r:id="rId22"/>
      <w:footerReference w:type="default" r:id="rId23"/>
      <w:pgSz w:w="16840" w:h="11901" w:orient="landscape"/>
      <w:pgMar w:top="1418" w:right="1134" w:bottom="567" w:left="1134"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CA8F33" w14:textId="77777777" w:rsidR="00B61632" w:rsidRDefault="00B61632" w:rsidP="002848CC">
      <w:pPr>
        <w:spacing w:before="0"/>
      </w:pPr>
      <w:r>
        <w:separator/>
      </w:r>
    </w:p>
  </w:endnote>
  <w:endnote w:type="continuationSeparator" w:id="0">
    <w:p w14:paraId="55D920D5" w14:textId="77777777" w:rsidR="00B61632" w:rsidRDefault="00B61632"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PGothic">
    <w:altName w:val="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EFF" w:usb1="C0007843" w:usb2="00000009" w:usb3="00000000" w:csb0="000001FF" w:csb1="00000000"/>
  </w:font>
  <w:font w:name="Copperplate Gothic Light">
    <w:altName w:val="Helvetica Neue"/>
    <w:panose1 w:val="020E0507020206020404"/>
    <w:charset w:val="00"/>
    <w:family w:val="swiss"/>
    <w:pitch w:val="variable"/>
    <w:sig w:usb0="00000003" w:usb1="00000000" w:usb2="00000000" w:usb3="00000000" w:csb0="00000001" w:csb1="00000000"/>
  </w:font>
  <w:font w:name="Myriad Pro">
    <w:charset w:val="00"/>
    <w:family w:val="auto"/>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0F9B59" w14:textId="186E8592" w:rsidR="00B61632" w:rsidRPr="00F80F81" w:rsidRDefault="00B61632" w:rsidP="00F80F81">
    <w:pPr>
      <w:pStyle w:val="Footer"/>
    </w:pPr>
    <w:r w:rsidRPr="00F80F81">
      <w:t>Module A12 – Sphere and the Protection Principles</w:t>
    </w:r>
    <w:r>
      <w:tab/>
    </w:r>
    <w:r w:rsidRPr="00F51600">
      <w:t>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2AFE" w14:textId="528EC7C7" w:rsidR="00B61632" w:rsidRPr="00C33B70" w:rsidRDefault="00B61632" w:rsidP="00C33B70">
    <w:pPr>
      <w:pStyle w:val="Footer"/>
    </w:pPr>
    <w:r w:rsidRPr="005A0974">
      <w:t>Module B1 – Sphere and the project cycle: an overview</w:t>
    </w:r>
    <w:r>
      <w:tab/>
      <w:t>Sphere Training Package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031B5" w14:textId="70F23170" w:rsidR="00B61632" w:rsidRPr="00F51600" w:rsidRDefault="00B61632" w:rsidP="00891199">
    <w:pPr>
      <w:pStyle w:val="Footer"/>
    </w:pPr>
    <w:r w:rsidRPr="005A0974">
      <w:t>Module B1 – Sphere and the project cycle: an overview</w:t>
    </w:r>
    <w:r>
      <w:tab/>
    </w:r>
    <w:r w:rsidRPr="00F51600">
      <w:t>Sphere Training Package 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8550A3" w14:textId="77777777" w:rsidR="00B61632" w:rsidRPr="00C33B70" w:rsidRDefault="00B61632" w:rsidP="005A0974">
    <w:pPr>
      <w:pStyle w:val="Footer"/>
      <w:tabs>
        <w:tab w:val="clear" w:pos="9356"/>
        <w:tab w:val="right" w:pos="14601"/>
      </w:tabs>
    </w:pPr>
    <w:r w:rsidRPr="005A0974">
      <w:t>Module B1 – Sphere and the project cycle: an overview</w:t>
    </w:r>
    <w:r>
      <w:tab/>
      <w:t>Sphere Training Package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1CA018" w14:textId="37A5B1A7" w:rsidR="00B61632" w:rsidRDefault="00B61632" w:rsidP="002848CC">
      <w:pPr>
        <w:spacing w:before="0"/>
      </w:pPr>
      <w:r>
        <w:separator/>
      </w:r>
    </w:p>
  </w:footnote>
  <w:footnote w:type="continuationSeparator" w:id="0">
    <w:p w14:paraId="3A0C8118" w14:textId="77777777" w:rsidR="00B61632" w:rsidRDefault="00B61632"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FBBB23" w14:textId="1E0C832F" w:rsidR="00B61632" w:rsidRPr="004F1D9A" w:rsidRDefault="00B61632" w:rsidP="00891199">
    <w:pPr>
      <w:pStyle w:val="Header"/>
    </w:pPr>
    <w:r w:rsidRPr="007A7ACB">
      <w:t>Handouts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67316" w14:textId="7C5A06D1" w:rsidR="00B61632" w:rsidRPr="00175CA3" w:rsidRDefault="00B61632" w:rsidP="00891199">
    <w:pPr>
      <w:pStyle w:val="Header"/>
    </w:pPr>
    <w:r w:rsidRPr="00175CA3">
      <w:t>Handouts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00D55" w14:textId="64D596BA" w:rsidR="00B61632" w:rsidRPr="003E013F" w:rsidRDefault="00B61632" w:rsidP="00F51600">
    <w:pPr>
      <w:pStyle w:val="Heading1"/>
    </w:pPr>
    <w:r w:rsidRPr="005A0974">
      <w:t>Module B1 – Sphere and the project cycle: an overview</w:t>
    </w:r>
    <w:r w:rsidRPr="006E05EF">
      <w:t xml:space="preserve"> </w:t>
    </w:r>
    <w:r>
      <w:tab/>
    </w:r>
    <w:r w:rsidRPr="00D02279">
      <w:rPr>
        <w:color w:val="579305" w:themeColor="accent1"/>
        <w:szCs w:val="28"/>
      </w:rPr>
      <w:t>Handouts</w:t>
    </w:r>
  </w:p>
  <w:p w14:paraId="3E1679D9" w14:textId="4DD7BEBA" w:rsidR="00B61632" w:rsidRPr="00792B8B" w:rsidRDefault="00B61632" w:rsidP="00F51600">
    <w:pPr>
      <w:pStyle w:val="Heading2"/>
      <w:pBdr>
        <w:bottom w:val="single" w:sz="4" w:space="4" w:color="004386" w:themeColor="text2"/>
      </w:pBdr>
      <w:spacing w:after="0"/>
    </w:pPr>
    <w:r w:rsidRPr="005A0974">
      <w:t>How can you use Sphere throughout the different phases of the project cycle?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B8B1D3" w14:textId="1822E83F" w:rsidR="00B61632" w:rsidRPr="0052647A" w:rsidRDefault="00B61632" w:rsidP="005A0974">
    <w:pPr>
      <w:pStyle w:val="Header"/>
      <w:tabs>
        <w:tab w:val="clear" w:pos="9356"/>
        <w:tab w:val="right" w:pos="14601"/>
      </w:tabs>
    </w:pPr>
    <w:r w:rsidRPr="00175CA3">
      <w:t>H</w:t>
    </w:r>
    <w:r>
      <w:t>andouts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15:restartNumberingAfterBreak="0">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082DCA"/>
    <w:multiLevelType w:val="hybridMultilevel"/>
    <w:tmpl w:val="C1EAB630"/>
    <w:lvl w:ilvl="0" w:tplc="97CCFBDE">
      <w:start w:val="1"/>
      <w:numFmt w:val="bullet"/>
      <w:pStyle w:val="sub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15:restartNumberingAfterBreak="0">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0D7DD3"/>
    <w:multiLevelType w:val="hybridMultilevel"/>
    <w:tmpl w:val="0DC22FB2"/>
    <w:lvl w:ilvl="0" w:tplc="BD68BE1C">
      <w:start w:val="1"/>
      <w:numFmt w:val="bullet"/>
      <w:pStyle w:val="bullet"/>
      <w:lvlText w:val=""/>
      <w:lvlJc w:val="left"/>
      <w:pPr>
        <w:ind w:left="284" w:hanging="284"/>
      </w:pPr>
      <w:rPr>
        <w:rFonts w:ascii="Symbol" w:hAnsi="Symbol" w:hint="default"/>
        <w:color w:val="004386" w:themeColor="text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25672F"/>
    <w:multiLevelType w:val="hybridMultilevel"/>
    <w:tmpl w:val="5882EF42"/>
    <w:lvl w:ilvl="0" w:tplc="A6F0BB26">
      <w:start w:val="1"/>
      <w:numFmt w:val="bullet"/>
      <w:pStyle w:val="tablebullet"/>
      <w:lvlText w:val=""/>
      <w:lvlJc w:val="left"/>
      <w:pPr>
        <w:ind w:left="0" w:firstLine="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2"/>
  </w:num>
  <w:num w:numId="9">
    <w:abstractNumId w:val="7"/>
  </w:num>
  <w:num w:numId="10">
    <w:abstractNumId w:val="10"/>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1"/>
  </w:num>
  <w:num w:numId="19">
    <w:abstractNumId w:val="2"/>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activeWritingStyle w:appName="MSWord" w:lang="en-GB" w:vendorID="64" w:dllVersion="131078" w:nlCheck="1" w:checkStyle="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146"/>
    <w:rsid w:val="000047A2"/>
    <w:rsid w:val="0005284F"/>
    <w:rsid w:val="00065EB9"/>
    <w:rsid w:val="00067119"/>
    <w:rsid w:val="00073A7E"/>
    <w:rsid w:val="000765B7"/>
    <w:rsid w:val="00083D19"/>
    <w:rsid w:val="000A54BC"/>
    <w:rsid w:val="000C131D"/>
    <w:rsid w:val="000C421B"/>
    <w:rsid w:val="0013229F"/>
    <w:rsid w:val="00144112"/>
    <w:rsid w:val="0015588F"/>
    <w:rsid w:val="00164B4E"/>
    <w:rsid w:val="0016592C"/>
    <w:rsid w:val="001713BA"/>
    <w:rsid w:val="001737A1"/>
    <w:rsid w:val="001740C0"/>
    <w:rsid w:val="00175CA3"/>
    <w:rsid w:val="001869EC"/>
    <w:rsid w:val="001B31E0"/>
    <w:rsid w:val="001C7F2F"/>
    <w:rsid w:val="001D0724"/>
    <w:rsid w:val="001D7A65"/>
    <w:rsid w:val="001E1BE3"/>
    <w:rsid w:val="001F455D"/>
    <w:rsid w:val="001F7F75"/>
    <w:rsid w:val="00200D4D"/>
    <w:rsid w:val="00205074"/>
    <w:rsid w:val="002201FF"/>
    <w:rsid w:val="00235E88"/>
    <w:rsid w:val="00237D09"/>
    <w:rsid w:val="00241992"/>
    <w:rsid w:val="00267AF2"/>
    <w:rsid w:val="00274BC6"/>
    <w:rsid w:val="002848CC"/>
    <w:rsid w:val="00286FDD"/>
    <w:rsid w:val="002933E5"/>
    <w:rsid w:val="002958E2"/>
    <w:rsid w:val="002C1E02"/>
    <w:rsid w:val="002D3B86"/>
    <w:rsid w:val="002E454B"/>
    <w:rsid w:val="002F1BB8"/>
    <w:rsid w:val="002F2B87"/>
    <w:rsid w:val="0030064E"/>
    <w:rsid w:val="00314ADC"/>
    <w:rsid w:val="00315E11"/>
    <w:rsid w:val="0032009E"/>
    <w:rsid w:val="00360466"/>
    <w:rsid w:val="0036192C"/>
    <w:rsid w:val="00370153"/>
    <w:rsid w:val="003918D7"/>
    <w:rsid w:val="003A2C62"/>
    <w:rsid w:val="003A4483"/>
    <w:rsid w:val="003C469E"/>
    <w:rsid w:val="003C5331"/>
    <w:rsid w:val="003C6D92"/>
    <w:rsid w:val="003E013F"/>
    <w:rsid w:val="003E2279"/>
    <w:rsid w:val="003E2DB9"/>
    <w:rsid w:val="003F0EB3"/>
    <w:rsid w:val="004231C3"/>
    <w:rsid w:val="00434E0E"/>
    <w:rsid w:val="0043797B"/>
    <w:rsid w:val="0045590B"/>
    <w:rsid w:val="00463DB5"/>
    <w:rsid w:val="0047294F"/>
    <w:rsid w:val="00495FDD"/>
    <w:rsid w:val="004A5AA2"/>
    <w:rsid w:val="004B4DB2"/>
    <w:rsid w:val="004D7062"/>
    <w:rsid w:val="004F1D9A"/>
    <w:rsid w:val="0050225B"/>
    <w:rsid w:val="0052647A"/>
    <w:rsid w:val="005751FD"/>
    <w:rsid w:val="005848E9"/>
    <w:rsid w:val="005A0974"/>
    <w:rsid w:val="005A7E9A"/>
    <w:rsid w:val="005A7F89"/>
    <w:rsid w:val="005F6AEE"/>
    <w:rsid w:val="00601FF7"/>
    <w:rsid w:val="00620E7C"/>
    <w:rsid w:val="0062536D"/>
    <w:rsid w:val="0063519D"/>
    <w:rsid w:val="00637110"/>
    <w:rsid w:val="00690F64"/>
    <w:rsid w:val="00697502"/>
    <w:rsid w:val="006C099B"/>
    <w:rsid w:val="006C0D83"/>
    <w:rsid w:val="006D149B"/>
    <w:rsid w:val="006D389C"/>
    <w:rsid w:val="006E05EF"/>
    <w:rsid w:val="006E74C4"/>
    <w:rsid w:val="00700614"/>
    <w:rsid w:val="007030AE"/>
    <w:rsid w:val="00712B47"/>
    <w:rsid w:val="00714CE1"/>
    <w:rsid w:val="00715CA8"/>
    <w:rsid w:val="00731755"/>
    <w:rsid w:val="007577CE"/>
    <w:rsid w:val="00761400"/>
    <w:rsid w:val="00775878"/>
    <w:rsid w:val="00781146"/>
    <w:rsid w:val="00792B8B"/>
    <w:rsid w:val="007A255B"/>
    <w:rsid w:val="007A4412"/>
    <w:rsid w:val="007A7ACB"/>
    <w:rsid w:val="007B3E00"/>
    <w:rsid w:val="007C724E"/>
    <w:rsid w:val="007E479A"/>
    <w:rsid w:val="007F4C42"/>
    <w:rsid w:val="00810AFF"/>
    <w:rsid w:val="00811B63"/>
    <w:rsid w:val="00816A31"/>
    <w:rsid w:val="0082448F"/>
    <w:rsid w:val="00825D04"/>
    <w:rsid w:val="008260A5"/>
    <w:rsid w:val="008647F3"/>
    <w:rsid w:val="008652CA"/>
    <w:rsid w:val="0086550C"/>
    <w:rsid w:val="0087787A"/>
    <w:rsid w:val="0088527D"/>
    <w:rsid w:val="00886C42"/>
    <w:rsid w:val="00891199"/>
    <w:rsid w:val="008B4444"/>
    <w:rsid w:val="008B7D3C"/>
    <w:rsid w:val="008F7DE8"/>
    <w:rsid w:val="0090172B"/>
    <w:rsid w:val="0090692F"/>
    <w:rsid w:val="00925784"/>
    <w:rsid w:val="00937519"/>
    <w:rsid w:val="00942824"/>
    <w:rsid w:val="009516C3"/>
    <w:rsid w:val="00971AD2"/>
    <w:rsid w:val="00981544"/>
    <w:rsid w:val="0098193F"/>
    <w:rsid w:val="00995549"/>
    <w:rsid w:val="009C6C4F"/>
    <w:rsid w:val="009D29D8"/>
    <w:rsid w:val="009D6A86"/>
    <w:rsid w:val="009D7027"/>
    <w:rsid w:val="009E270C"/>
    <w:rsid w:val="009E4123"/>
    <w:rsid w:val="009F534E"/>
    <w:rsid w:val="00A027E7"/>
    <w:rsid w:val="00A030A7"/>
    <w:rsid w:val="00A34423"/>
    <w:rsid w:val="00A362E5"/>
    <w:rsid w:val="00A46634"/>
    <w:rsid w:val="00A5730E"/>
    <w:rsid w:val="00A80DF5"/>
    <w:rsid w:val="00A838D4"/>
    <w:rsid w:val="00A93E89"/>
    <w:rsid w:val="00A95124"/>
    <w:rsid w:val="00AB088B"/>
    <w:rsid w:val="00AD30D2"/>
    <w:rsid w:val="00AF36C0"/>
    <w:rsid w:val="00B10FD5"/>
    <w:rsid w:val="00B40995"/>
    <w:rsid w:val="00B420B3"/>
    <w:rsid w:val="00B450E0"/>
    <w:rsid w:val="00B520FF"/>
    <w:rsid w:val="00B572C2"/>
    <w:rsid w:val="00B61632"/>
    <w:rsid w:val="00B63541"/>
    <w:rsid w:val="00B70E34"/>
    <w:rsid w:val="00B71B20"/>
    <w:rsid w:val="00B91AAC"/>
    <w:rsid w:val="00B97032"/>
    <w:rsid w:val="00BA2F00"/>
    <w:rsid w:val="00BB75BC"/>
    <w:rsid w:val="00BE3D5B"/>
    <w:rsid w:val="00BF47EE"/>
    <w:rsid w:val="00C0309C"/>
    <w:rsid w:val="00C23D4E"/>
    <w:rsid w:val="00C30755"/>
    <w:rsid w:val="00C32D00"/>
    <w:rsid w:val="00C33B70"/>
    <w:rsid w:val="00C35B0F"/>
    <w:rsid w:val="00C507F3"/>
    <w:rsid w:val="00C95B37"/>
    <w:rsid w:val="00CD5306"/>
    <w:rsid w:val="00CE1AF7"/>
    <w:rsid w:val="00D005C5"/>
    <w:rsid w:val="00D02279"/>
    <w:rsid w:val="00D03737"/>
    <w:rsid w:val="00D064C5"/>
    <w:rsid w:val="00D12A1D"/>
    <w:rsid w:val="00D221A6"/>
    <w:rsid w:val="00D34FFC"/>
    <w:rsid w:val="00D37C30"/>
    <w:rsid w:val="00D54219"/>
    <w:rsid w:val="00D90736"/>
    <w:rsid w:val="00DC5F50"/>
    <w:rsid w:val="00DD0F73"/>
    <w:rsid w:val="00DE202F"/>
    <w:rsid w:val="00DE210D"/>
    <w:rsid w:val="00DE21D3"/>
    <w:rsid w:val="00DF2534"/>
    <w:rsid w:val="00E15219"/>
    <w:rsid w:val="00E2620E"/>
    <w:rsid w:val="00E26D30"/>
    <w:rsid w:val="00E36E68"/>
    <w:rsid w:val="00E55990"/>
    <w:rsid w:val="00E56AF5"/>
    <w:rsid w:val="00E71C66"/>
    <w:rsid w:val="00E8474E"/>
    <w:rsid w:val="00EA1F0B"/>
    <w:rsid w:val="00EB14C9"/>
    <w:rsid w:val="00ED3701"/>
    <w:rsid w:val="00EE535D"/>
    <w:rsid w:val="00EF0BD0"/>
    <w:rsid w:val="00F002DF"/>
    <w:rsid w:val="00F25952"/>
    <w:rsid w:val="00F51600"/>
    <w:rsid w:val="00F52152"/>
    <w:rsid w:val="00F607AF"/>
    <w:rsid w:val="00F66ABC"/>
    <w:rsid w:val="00F67F82"/>
    <w:rsid w:val="00F776C2"/>
    <w:rsid w:val="00F80F81"/>
    <w:rsid w:val="00F961DF"/>
    <w:rsid w:val="00F97BB3"/>
    <w:rsid w:val="00FA7F78"/>
    <w:rsid w:val="00FB3F41"/>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6AE03F88"/>
  <w15:docId w15:val="{7AF6FC06-B629-4764-A284-149F08E0BC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
    <w:qFormat/>
    <w:rsid w:val="005848E9"/>
    <w:pPr>
      <w:spacing w:before="80" w:line="240" w:lineRule="atLeast"/>
    </w:pPr>
    <w:rPr>
      <w:bCs/>
      <w:sz w:val="22"/>
      <w:szCs w:val="24"/>
      <w:lang w:val="en-GB" w:eastAsia="es-ES"/>
    </w:rPr>
  </w:style>
  <w:style w:type="paragraph" w:styleId="Heading1">
    <w:name w:val="heading 1"/>
    <w:aliases w:val="h1"/>
    <w:basedOn w:val="Normal"/>
    <w:next w:val="Normal"/>
    <w:link w:val="Heading1Char"/>
    <w:qFormat/>
    <w:rsid w:val="00891199"/>
    <w:pPr>
      <w:keepNext/>
      <w:tabs>
        <w:tab w:val="right" w:pos="9356"/>
      </w:tabs>
      <w:spacing w:before="0" w:line="240" w:lineRule="auto"/>
      <w:outlineLvl w:val="0"/>
    </w:pPr>
    <w:rPr>
      <w:rFonts w:ascii="Tahoma" w:eastAsiaTheme="majorEastAsia" w:hAnsi="Tahoma" w:cs="Tahoma"/>
      <w:b/>
      <w:color w:val="004386"/>
      <w:kern w:val="32"/>
      <w:sz w:val="28"/>
      <w:szCs w:val="32"/>
    </w:rPr>
  </w:style>
  <w:style w:type="paragraph" w:styleId="Heading2">
    <w:name w:val="heading 2"/>
    <w:aliases w:val="h2"/>
    <w:basedOn w:val="Heading1"/>
    <w:next w:val="Normal"/>
    <w:link w:val="Heading2Char"/>
    <w:qFormat/>
    <w:rsid w:val="004231C3"/>
    <w:pPr>
      <w:spacing w:before="160" w:after="400"/>
      <w:outlineLvl w:val="1"/>
    </w:pPr>
    <w:rPr>
      <w:rFonts w:cs="Arial"/>
      <w:b w:val="0"/>
      <w:i/>
      <w:color w:val="004386" w:themeColor="text2"/>
      <w:sz w:val="24"/>
    </w:rPr>
  </w:style>
  <w:style w:type="paragraph" w:styleId="Heading3">
    <w:name w:val="heading 3"/>
    <w:aliases w:val="h3"/>
    <w:basedOn w:val="Heading2"/>
    <w:next w:val="Normal"/>
    <w:link w:val="Heading3Char"/>
    <w:qFormat/>
    <w:rsid w:val="0088527D"/>
    <w:pPr>
      <w:pageBreakBefore/>
      <w:spacing w:before="0" w:after="0"/>
      <w:outlineLvl w:val="2"/>
    </w:pPr>
    <w:rPr>
      <w:b/>
      <w:i w:val="0"/>
      <w:szCs w:val="24"/>
    </w:rPr>
  </w:style>
  <w:style w:type="paragraph" w:styleId="Heading4">
    <w:name w:val="heading 4"/>
    <w:aliases w:val="h4"/>
    <w:basedOn w:val="Heading3"/>
    <w:next w:val="Normal"/>
    <w:link w:val="Heading4Char"/>
    <w:uiPriority w:val="9"/>
    <w:unhideWhenUsed/>
    <w:qFormat/>
    <w:rsid w:val="00F51600"/>
    <w:pPr>
      <w:keepLines/>
      <w:spacing w:after="160"/>
      <w:outlineLvl w:val="3"/>
    </w:pPr>
    <w:rPr>
      <w:rFonts w:cstheme="majorBidi"/>
    </w:rPr>
  </w:style>
  <w:style w:type="paragraph" w:styleId="Heading5">
    <w:name w:val="heading 5"/>
    <w:basedOn w:val="Normal"/>
    <w:next w:val="Normal"/>
    <w:link w:val="Heading5Char"/>
    <w:qFormat/>
    <w:rsid w:val="00C33B70"/>
    <w:pPr>
      <w:spacing w:before="200"/>
      <w:outlineLvl w:val="4"/>
    </w:pPr>
    <w:rPr>
      <w:b/>
      <w:iCs/>
      <w:color w:val="004386" w:themeColor="text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891199"/>
    <w:rPr>
      <w:rFonts w:ascii="Tahoma" w:eastAsiaTheme="majorEastAsia" w:hAnsi="Tahoma" w:cs="Tahoma"/>
      <w:b/>
      <w:bCs/>
      <w:color w:val="004386"/>
      <w:kern w:val="32"/>
      <w:sz w:val="28"/>
      <w:szCs w:val="32"/>
      <w:lang w:val="en-GB" w:eastAsia="es-ES"/>
    </w:rPr>
  </w:style>
  <w:style w:type="character" w:customStyle="1" w:styleId="Heading2Char">
    <w:name w:val="Heading 2 Char"/>
    <w:aliases w:val="h2 Char"/>
    <w:basedOn w:val="DefaultParagraphFont"/>
    <w:link w:val="Heading2"/>
    <w:rsid w:val="004231C3"/>
    <w:rPr>
      <w:rFonts w:ascii="Tahoma" w:eastAsiaTheme="majorEastAsia" w:hAnsi="Tahoma" w:cs="Arial"/>
      <w:bCs/>
      <w:i/>
      <w:color w:val="004386" w:themeColor="text2"/>
      <w:kern w:val="32"/>
      <w:sz w:val="24"/>
      <w:szCs w:val="32"/>
      <w:lang w:val="en-GB" w:eastAsia="es-ES"/>
    </w:rPr>
  </w:style>
  <w:style w:type="character" w:customStyle="1" w:styleId="Heading3Char">
    <w:name w:val="Heading 3 Char"/>
    <w:aliases w:val="h3 Char"/>
    <w:basedOn w:val="DefaultParagraphFont"/>
    <w:link w:val="Heading3"/>
    <w:rsid w:val="0088527D"/>
    <w:rPr>
      <w:rFonts w:ascii="Tahoma" w:eastAsiaTheme="majorEastAsia" w:hAnsi="Tahoma" w:cs="Arial"/>
      <w:b/>
      <w:bCs/>
      <w:color w:val="004386" w:themeColor="text2"/>
      <w:kern w:val="32"/>
      <w:sz w:val="24"/>
      <w:szCs w:val="24"/>
      <w:lang w:val="en-GB" w:eastAsia="es-ES"/>
    </w:rPr>
  </w:style>
  <w:style w:type="character" w:customStyle="1" w:styleId="Heading4Char">
    <w:name w:val="Heading 4 Char"/>
    <w:aliases w:val="h4 Char"/>
    <w:basedOn w:val="DefaultParagraphFont"/>
    <w:link w:val="Heading4"/>
    <w:uiPriority w:val="9"/>
    <w:rsid w:val="00F51600"/>
    <w:rPr>
      <w:rFonts w:ascii="Tahoma" w:eastAsiaTheme="majorEastAsia" w:hAnsi="Tahoma" w:cstheme="majorBidi"/>
      <w:b/>
      <w:bCs/>
      <w:color w:val="004386" w:themeColor="text2"/>
      <w:kern w:val="32"/>
      <w:sz w:val="24"/>
      <w:szCs w:val="24"/>
      <w:lang w:val="en-GB" w:eastAsia="es-ES"/>
    </w:rPr>
  </w:style>
  <w:style w:type="character" w:customStyle="1" w:styleId="Heading5Char">
    <w:name w:val="Heading 5 Char"/>
    <w:basedOn w:val="DefaultParagraphFont"/>
    <w:link w:val="Heading5"/>
    <w:rsid w:val="00C33B70"/>
    <w:rPr>
      <w:b/>
      <w:bCs/>
      <w:iCs/>
      <w:color w:val="004386" w:themeColor="text2"/>
      <w:sz w:val="22"/>
      <w:szCs w:val="26"/>
      <w:lang w:val="en-GB" w:eastAsia="es-ES"/>
    </w:rPr>
  </w:style>
  <w:style w:type="paragraph" w:styleId="Caption">
    <w:name w:val="caption"/>
    <w:basedOn w:val="Normal"/>
    <w:next w:val="Normal"/>
    <w:uiPriority w:val="35"/>
    <w:unhideWhenUsed/>
    <w:qFormat/>
    <w:rsid w:val="00205074"/>
    <w:pPr>
      <w:spacing w:before="0" w:after="200"/>
    </w:pPr>
    <w:rPr>
      <w:rFonts w:eastAsiaTheme="minorHAnsi" w:cstheme="minorBidi"/>
      <w:b/>
      <w:color w:val="579305" w:themeColor="accent1"/>
      <w:sz w:val="18"/>
      <w:szCs w:val="18"/>
      <w:lang w:eastAsia="en-US"/>
    </w:rPr>
  </w:style>
  <w:style w:type="character" w:styleId="Emphasis">
    <w:name w:val="Emphasis"/>
    <w:qFormat/>
    <w:rsid w:val="00205074"/>
    <w:rPr>
      <w:b/>
      <w:i w:val="0"/>
      <w:iCs/>
    </w:rPr>
  </w:style>
  <w:style w:type="table" w:styleId="TableGrid">
    <w:name w:val="Table Grid"/>
    <w:basedOn w:val="TableNormal"/>
    <w:uiPriority w:val="59"/>
    <w:rsid w:val="002050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05074"/>
    <w:rPr>
      <w:color w:val="004386"/>
      <w:u w:val="single"/>
    </w:rPr>
  </w:style>
  <w:style w:type="paragraph" w:styleId="BalloonText">
    <w:name w:val="Balloon Text"/>
    <w:basedOn w:val="Normal"/>
    <w:link w:val="BalloonTextChar"/>
    <w:uiPriority w:val="99"/>
    <w:semiHidden/>
    <w:unhideWhenUsed/>
    <w:rsid w:val="00205074"/>
    <w:pPr>
      <w:spacing w:before="0"/>
    </w:pPr>
    <w:rPr>
      <w:rFonts w:cs="Tahoma"/>
      <w:sz w:val="16"/>
      <w:szCs w:val="16"/>
    </w:rPr>
  </w:style>
  <w:style w:type="character" w:customStyle="1" w:styleId="BalloonTextChar">
    <w:name w:val="Balloon Text Char"/>
    <w:basedOn w:val="DefaultParagraphFont"/>
    <w:link w:val="BalloonText"/>
    <w:uiPriority w:val="99"/>
    <w:semiHidden/>
    <w:rsid w:val="00205074"/>
    <w:rPr>
      <w:rFonts w:cs="Tahoma"/>
      <w:bCs/>
      <w:sz w:val="16"/>
      <w:szCs w:val="16"/>
      <w:lang w:val="en-US" w:eastAsia="es-ES"/>
    </w:rPr>
  </w:style>
  <w:style w:type="paragraph" w:customStyle="1" w:styleId="table">
    <w:name w:val="table"/>
    <w:aliases w:val="t"/>
    <w:basedOn w:val="Normal"/>
    <w:qFormat/>
    <w:rsid w:val="00C33B70"/>
    <w:pPr>
      <w:spacing w:after="80"/>
    </w:pPr>
  </w:style>
  <w:style w:type="paragraph" w:customStyle="1" w:styleId="tableheading">
    <w:name w:val="table heading"/>
    <w:aliases w:val="th"/>
    <w:basedOn w:val="table"/>
    <w:qFormat/>
    <w:rsid w:val="00495FDD"/>
    <w:pPr>
      <w:keepNext/>
    </w:pPr>
    <w:rPr>
      <w:rFonts w:ascii="Tahoma" w:hAnsi="Tahoma"/>
      <w:b/>
      <w:color w:val="FFFFFF" w:themeColor="background1"/>
      <w:sz w:val="20"/>
      <w:szCs w:val="22"/>
    </w:rPr>
  </w:style>
  <w:style w:type="paragraph" w:customStyle="1" w:styleId="bullet">
    <w:name w:val="bullet"/>
    <w:aliases w:val="b"/>
    <w:basedOn w:val="Normal"/>
    <w:qFormat/>
    <w:rsid w:val="00712B47"/>
    <w:pPr>
      <w:numPr>
        <w:numId w:val="16"/>
      </w:numPr>
      <w:spacing w:before="40"/>
    </w:pPr>
  </w:style>
  <w:style w:type="paragraph" w:customStyle="1" w:styleId="tablebullet">
    <w:name w:val="table bullet"/>
    <w:aliases w:val="tb"/>
    <w:basedOn w:val="table"/>
    <w:qFormat/>
    <w:rsid w:val="00205074"/>
    <w:pPr>
      <w:numPr>
        <w:numId w:val="17"/>
      </w:numPr>
      <w:ind w:left="284" w:hanging="284"/>
    </w:pPr>
  </w:style>
  <w:style w:type="paragraph" w:styleId="Header">
    <w:name w:val="header"/>
    <w:basedOn w:val="Normal"/>
    <w:link w:val="HeaderChar"/>
    <w:uiPriority w:val="99"/>
    <w:unhideWhenUsed/>
    <w:rsid w:val="00891199"/>
    <w:pPr>
      <w:pBdr>
        <w:bottom w:val="single" w:sz="4" w:space="4" w:color="004386" w:themeColor="text2"/>
      </w:pBdr>
      <w:tabs>
        <w:tab w:val="right" w:pos="9356"/>
      </w:tabs>
      <w:spacing w:before="0" w:line="240" w:lineRule="auto"/>
      <w:jc w:val="right"/>
    </w:pPr>
    <w:rPr>
      <w:rFonts w:ascii="Tahoma" w:hAnsi="Tahoma" w:cs="Tahoma"/>
      <w:b/>
      <w:color w:val="579305" w:themeColor="accent1"/>
      <w:sz w:val="24"/>
    </w:rPr>
  </w:style>
  <w:style w:type="character" w:customStyle="1" w:styleId="HeaderChar">
    <w:name w:val="Header Char"/>
    <w:basedOn w:val="DefaultParagraphFont"/>
    <w:link w:val="Header"/>
    <w:uiPriority w:val="99"/>
    <w:rsid w:val="00891199"/>
    <w:rPr>
      <w:rFonts w:ascii="Tahoma" w:hAnsi="Tahoma" w:cs="Tahoma"/>
      <w:b/>
      <w:bCs/>
      <w:color w:val="579305" w:themeColor="accent1"/>
      <w:sz w:val="24"/>
      <w:szCs w:val="24"/>
      <w:lang w:val="en-US" w:eastAsia="es-ES"/>
    </w:rPr>
  </w:style>
  <w:style w:type="paragraph" w:styleId="Footer">
    <w:name w:val="footer"/>
    <w:basedOn w:val="Normal"/>
    <w:link w:val="FooterChar"/>
    <w:uiPriority w:val="99"/>
    <w:unhideWhenUsed/>
    <w:rsid w:val="00F51600"/>
    <w:pPr>
      <w:pBdr>
        <w:top w:val="single" w:sz="4" w:space="4" w:color="004386" w:themeColor="text2"/>
      </w:pBdr>
      <w:tabs>
        <w:tab w:val="right" w:pos="9356"/>
      </w:tabs>
      <w:spacing w:before="0" w:line="240" w:lineRule="auto"/>
    </w:pPr>
    <w:rPr>
      <w:rFonts w:ascii="Tahoma" w:hAnsi="Tahoma" w:cs="Tahoma"/>
      <w:color w:val="004386" w:themeColor="text2"/>
      <w:sz w:val="18"/>
      <w:szCs w:val="18"/>
    </w:rPr>
  </w:style>
  <w:style w:type="character" w:customStyle="1" w:styleId="FooterChar">
    <w:name w:val="Footer Char"/>
    <w:basedOn w:val="DefaultParagraphFont"/>
    <w:link w:val="Footer"/>
    <w:uiPriority w:val="99"/>
    <w:rsid w:val="00F51600"/>
    <w:rPr>
      <w:rFonts w:ascii="Tahoma" w:hAnsi="Tahoma" w:cs="Tahoma"/>
      <w:bCs/>
      <w:color w:val="004386" w:themeColor="text2"/>
      <w:sz w:val="18"/>
      <w:szCs w:val="18"/>
      <w:lang w:val="en-US" w:eastAsia="es-ES"/>
    </w:rPr>
  </w:style>
  <w:style w:type="character" w:styleId="PageNumber">
    <w:name w:val="page number"/>
    <w:basedOn w:val="DefaultParagraphFont"/>
    <w:uiPriority w:val="99"/>
    <w:semiHidden/>
    <w:unhideWhenUsed/>
    <w:rsid w:val="00205074"/>
    <w:rPr>
      <w:rFonts w:asciiTheme="minorHAnsi" w:hAnsiTheme="minorHAnsi"/>
    </w:rPr>
  </w:style>
  <w:style w:type="character" w:styleId="FollowedHyperlink">
    <w:name w:val="FollowedHyperlink"/>
    <w:basedOn w:val="DefaultParagraphFont"/>
    <w:uiPriority w:val="99"/>
    <w:semiHidden/>
    <w:unhideWhenUsed/>
    <w:rsid w:val="00205074"/>
    <w:rPr>
      <w:color w:val="004386"/>
      <w:u w:val="single"/>
    </w:rPr>
  </w:style>
  <w:style w:type="paragraph" w:customStyle="1" w:styleId="subbullet">
    <w:name w:val="sub bullet"/>
    <w:aliases w:val="s"/>
    <w:basedOn w:val="Normal"/>
    <w:qFormat/>
    <w:rsid w:val="00DE202F"/>
    <w:pPr>
      <w:numPr>
        <w:numId w:val="19"/>
      </w:numPr>
      <w:ind w:left="568"/>
    </w:pPr>
  </w:style>
  <w:style w:type="paragraph" w:styleId="FootnoteText">
    <w:name w:val="footnote text"/>
    <w:basedOn w:val="Normal"/>
    <w:link w:val="FootnoteTextChar"/>
    <w:uiPriority w:val="99"/>
    <w:unhideWhenUsed/>
    <w:rsid w:val="00712B47"/>
    <w:pPr>
      <w:keepLines/>
      <w:spacing w:before="0" w:line="240" w:lineRule="auto"/>
    </w:pPr>
    <w:rPr>
      <w:rFonts w:eastAsiaTheme="minorEastAsia"/>
      <w:bCs w:val="0"/>
      <w:sz w:val="20"/>
      <w:lang w:eastAsia="en-US"/>
    </w:rPr>
  </w:style>
  <w:style w:type="character" w:customStyle="1" w:styleId="FootnoteTextChar">
    <w:name w:val="Footnote Text Char"/>
    <w:basedOn w:val="DefaultParagraphFont"/>
    <w:link w:val="FootnoteText"/>
    <w:uiPriority w:val="99"/>
    <w:rsid w:val="00712B47"/>
    <w:rPr>
      <w:rFonts w:eastAsiaTheme="minorEastAsia"/>
      <w:szCs w:val="24"/>
      <w:lang w:val="en-GB"/>
    </w:rPr>
  </w:style>
  <w:style w:type="character" w:styleId="FootnoteReference">
    <w:name w:val="footnote reference"/>
    <w:basedOn w:val="DefaultParagraphFont"/>
    <w:uiPriority w:val="99"/>
    <w:unhideWhenUsed/>
    <w:rsid w:val="00267AF2"/>
    <w:rPr>
      <w:vertAlign w:val="superscript"/>
    </w:rPr>
  </w:style>
  <w:style w:type="paragraph" w:customStyle="1" w:styleId="bigtable">
    <w:name w:val="big table"/>
    <w:basedOn w:val="table"/>
    <w:qFormat/>
    <w:rsid w:val="00BB75BC"/>
    <w:pPr>
      <w:spacing w:before="40" w:after="40" w:line="280" w:lineRule="atLeast"/>
      <w:jc w:val="center"/>
    </w:pPr>
    <w:rPr>
      <w:rFonts w:ascii="Tahoma" w:hAnsi="Tahoma"/>
      <w:b/>
      <w:sz w:val="20"/>
    </w:rPr>
  </w:style>
  <w:style w:type="paragraph" w:customStyle="1" w:styleId="credit">
    <w:name w:val="credit"/>
    <w:basedOn w:val="Normal"/>
    <w:qFormat/>
    <w:rsid w:val="0088527D"/>
    <w:rPr>
      <w:i/>
      <w:sz w:val="20"/>
      <w:szCs w:val="20"/>
    </w:rPr>
  </w:style>
  <w:style w:type="table" w:customStyle="1" w:styleId="Grilledutableau1">
    <w:name w:val="Grille du tableau1"/>
    <w:basedOn w:val="TableNormal"/>
    <w:next w:val="TableGrid"/>
    <w:uiPriority w:val="59"/>
    <w:rsid w:val="003A2C62"/>
    <w:rPr>
      <w:rFonts w:ascii="Calibri" w:hAnsi="Calibri"/>
      <w:sz w:val="22"/>
      <w:szCs w:val="22"/>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99"/>
    <w:qFormat/>
    <w:rsid w:val="00B450E0"/>
    <w:pPr>
      <w:spacing w:before="200" w:after="900" w:line="240" w:lineRule="auto"/>
      <w:jc w:val="right"/>
    </w:pPr>
    <w:rPr>
      <w:rFonts w:ascii="Calibri" w:eastAsiaTheme="majorEastAsia" w:hAnsi="Calibri" w:cstheme="majorBidi"/>
      <w:bCs w:val="0"/>
      <w:i/>
      <w:iCs/>
      <w:sz w:val="24"/>
      <w:lang w:val="es-ES"/>
    </w:rPr>
  </w:style>
  <w:style w:type="character" w:customStyle="1" w:styleId="SubtitleChar">
    <w:name w:val="Subtitle Char"/>
    <w:basedOn w:val="DefaultParagraphFont"/>
    <w:link w:val="Subtitle"/>
    <w:uiPriority w:val="99"/>
    <w:rsid w:val="00B450E0"/>
    <w:rPr>
      <w:rFonts w:ascii="Calibri" w:eastAsiaTheme="majorEastAsia" w:hAnsi="Calibri" w:cstheme="majorBidi"/>
      <w:i/>
      <w:iCs/>
      <w:sz w:val="24"/>
      <w:szCs w:val="24"/>
      <w:lang w:val="es-ES" w:eastAsia="es-ES"/>
    </w:rPr>
  </w:style>
  <w:style w:type="paragraph" w:customStyle="1" w:styleId="table2">
    <w:name w:val="table 2"/>
    <w:basedOn w:val="table"/>
    <w:qFormat/>
    <w:rsid w:val="00A838D4"/>
    <w:pPr>
      <w:spacing w:after="40" w:line="240" w:lineRule="auto"/>
    </w:pPr>
    <w:rPr>
      <w:rFonts w:ascii="Tahoma" w:hAnsi="Tahoma" w:cs="Tahom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hyperlink" Target="http://www.alnap.org/what-we-do/lessons" TargetMode="Externa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footer" Target="footer4.xml"/><Relationship Id="rId10" Type="http://schemas.openxmlformats.org/officeDocument/2006/relationships/header" Target="header1.xm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3.xml"/><Relationship Id="rId22" Type="http://schemas.openxmlformats.org/officeDocument/2006/relationships/header" Target="header4.xml"/></Relationships>
</file>

<file path=word/theme/theme1.xml><?xml version="1.0" encoding="utf-8"?>
<a:theme xmlns:a="http://schemas.openxmlformats.org/drawingml/2006/main" name="Sphere">
  <a:themeElements>
    <a:clrScheme name="Sphere">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3031</Words>
  <Characters>17283</Characters>
  <Application>Microsoft Office Word</Application>
  <DocSecurity>0</DocSecurity>
  <Lines>144</Lines>
  <Paragraphs>40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20274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CeciliaFurtade</cp:lastModifiedBy>
  <cp:revision>2</cp:revision>
  <cp:lastPrinted>2015-01-05T09:17:00Z</cp:lastPrinted>
  <dcterms:created xsi:type="dcterms:W3CDTF">2016-09-07T13:32:00Z</dcterms:created>
  <dcterms:modified xsi:type="dcterms:W3CDTF">2016-09-07T13:32:00Z</dcterms:modified>
</cp:coreProperties>
</file>